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DD7E0" w14:textId="768E6D60" w:rsidR="00455188" w:rsidRDefault="00D649C7">
      <w:pPr>
        <w:pStyle w:val="Heading1"/>
        <w:spacing w:before="39"/>
        <w:ind w:right="86"/>
        <w:rPr>
          <w:b w:val="0"/>
          <w:bCs w:val="0"/>
        </w:rPr>
      </w:pPr>
      <w:r>
        <w:t>Application</w:t>
      </w:r>
      <w:r>
        <w:rPr>
          <w:spacing w:val="-5"/>
        </w:rPr>
        <w:t xml:space="preserve"> </w:t>
      </w:r>
      <w:r>
        <w:t>of</w:t>
      </w:r>
      <w:r>
        <w:rPr>
          <w:spacing w:val="-5"/>
        </w:rPr>
        <w:t xml:space="preserve"> </w:t>
      </w:r>
      <w:r>
        <w:t>Facilities</w:t>
      </w:r>
      <w:r>
        <w:rPr>
          <w:spacing w:val="-7"/>
        </w:rPr>
        <w:t xml:space="preserve"> </w:t>
      </w:r>
      <w:r>
        <w:t>&amp;</w:t>
      </w:r>
      <w:r>
        <w:rPr>
          <w:spacing w:val="-5"/>
        </w:rPr>
        <w:t xml:space="preserve"> </w:t>
      </w:r>
      <w:r>
        <w:t>Administrative</w:t>
      </w:r>
      <w:r>
        <w:rPr>
          <w:spacing w:val="-5"/>
        </w:rPr>
        <w:t xml:space="preserve"> </w:t>
      </w:r>
      <w:r w:rsidR="00E942F0">
        <w:t>Cost</w:t>
      </w:r>
      <w:r>
        <w:rPr>
          <w:spacing w:val="-6"/>
        </w:rPr>
        <w:t xml:space="preserve"> </w:t>
      </w:r>
      <w:r>
        <w:t>(F&amp;A)</w:t>
      </w:r>
      <w:r>
        <w:rPr>
          <w:spacing w:val="-4"/>
        </w:rPr>
        <w:t xml:space="preserve"> </w:t>
      </w:r>
      <w:r>
        <w:t>Rates</w:t>
      </w:r>
      <w:r>
        <w:rPr>
          <w:spacing w:val="-4"/>
        </w:rPr>
        <w:t xml:space="preserve"> </w:t>
      </w:r>
      <w:r>
        <w:t>to</w:t>
      </w:r>
      <w:r>
        <w:rPr>
          <w:spacing w:val="-3"/>
        </w:rPr>
        <w:t xml:space="preserve"> </w:t>
      </w:r>
      <w:r>
        <w:t>Sponsored</w:t>
      </w:r>
      <w:r>
        <w:rPr>
          <w:spacing w:val="-3"/>
        </w:rPr>
        <w:t xml:space="preserve"> </w:t>
      </w:r>
      <w:r>
        <w:t>Projects</w:t>
      </w:r>
    </w:p>
    <w:p w14:paraId="728F7833" w14:textId="77777777" w:rsidR="00455188" w:rsidRDefault="00455188">
      <w:pPr>
        <w:rPr>
          <w:rFonts w:ascii="Calibri" w:eastAsia="Calibri" w:hAnsi="Calibri" w:cs="Calibri"/>
          <w:b/>
          <w:bCs/>
          <w:sz w:val="24"/>
          <w:szCs w:val="24"/>
        </w:rPr>
      </w:pPr>
    </w:p>
    <w:p w14:paraId="050335D7" w14:textId="6630B0F4" w:rsidR="00455188" w:rsidRDefault="00D649C7">
      <w:pPr>
        <w:pStyle w:val="BodyText"/>
        <w:ind w:right="86"/>
      </w:pPr>
      <w:r>
        <w:t xml:space="preserve">F&amp;A cost rates are applicable to all sponsored projects, i.e. grants, contracts, cooperative agreements, </w:t>
      </w:r>
      <w:proofErr w:type="spellStart"/>
      <w:r>
        <w:t>subgrants</w:t>
      </w:r>
      <w:proofErr w:type="spellEnd"/>
      <w:r w:rsidR="00590106">
        <w:t>, Other Transaction Agreements</w:t>
      </w:r>
      <w:r>
        <w:t xml:space="preserve"> and</w:t>
      </w:r>
      <w:r w:rsidR="00E942F0">
        <w:t xml:space="preserve"> subcontracts funded by Federal and</w:t>
      </w:r>
      <w:r>
        <w:t xml:space="preserve"> </w:t>
      </w:r>
      <w:r w:rsidR="000E0CD2">
        <w:t>non-F</w:t>
      </w:r>
      <w:r w:rsidR="00D43D53">
        <w:t>ederal</w:t>
      </w:r>
      <w:r>
        <w:t xml:space="preserve"> sponsors</w:t>
      </w:r>
      <w:r w:rsidR="00D43D53">
        <w:t xml:space="preserve"> including state agencies, corporations, foundations, etc</w:t>
      </w:r>
      <w:r>
        <w:t xml:space="preserve">. The application of these rates allows UMD to recover certain costs (e.g. facilities, utilities, libraries, administration, student services, etc.) associated with externally funded activities that, although they are true costs that are incurred, cannot be identified specifically with a particular project or activity. The </w:t>
      </w:r>
      <w:r w:rsidR="00E942F0">
        <w:t xml:space="preserve">rate negotiated with the </w:t>
      </w:r>
      <w:r>
        <w:t xml:space="preserve">Federal Government </w:t>
      </w:r>
      <w:r w:rsidR="00E942F0">
        <w:t>allows for the reimbursement of these costs from sponsored</w:t>
      </w:r>
      <w:r>
        <w:t xml:space="preserve"> awards. Therefore, any reduction in the allowable rate is considered cost sharing, and UMD must recover those costs from other</w:t>
      </w:r>
      <w:r>
        <w:rPr>
          <w:spacing w:val="-32"/>
        </w:rPr>
        <w:t xml:space="preserve"> </w:t>
      </w:r>
      <w:r>
        <w:t>sources.</w:t>
      </w:r>
    </w:p>
    <w:p w14:paraId="67352F94" w14:textId="77777777" w:rsidR="00455188" w:rsidRDefault="00455188">
      <w:pPr>
        <w:spacing w:before="12"/>
        <w:rPr>
          <w:rFonts w:ascii="Calibri" w:eastAsia="Calibri" w:hAnsi="Calibri" w:cs="Calibri"/>
          <w:sz w:val="23"/>
          <w:szCs w:val="23"/>
        </w:rPr>
      </w:pPr>
    </w:p>
    <w:p w14:paraId="7E6F1CA0" w14:textId="77777777" w:rsidR="00455188" w:rsidRDefault="00D649C7">
      <w:pPr>
        <w:pStyle w:val="Heading1"/>
        <w:ind w:right="86"/>
        <w:rPr>
          <w:b w:val="0"/>
          <w:bCs w:val="0"/>
        </w:rPr>
      </w:pPr>
      <w:r>
        <w:t>How to Determine F&amp;A</w:t>
      </w:r>
      <w:r>
        <w:rPr>
          <w:spacing w:val="-10"/>
        </w:rPr>
        <w:t xml:space="preserve"> </w:t>
      </w:r>
      <w:r>
        <w:t>Rates:</w:t>
      </w:r>
    </w:p>
    <w:p w14:paraId="07AA1A7E" w14:textId="77777777" w:rsidR="00455188" w:rsidRDefault="00455188">
      <w:pPr>
        <w:rPr>
          <w:rFonts w:ascii="Calibri" w:eastAsia="Calibri" w:hAnsi="Calibri" w:cs="Calibri"/>
          <w:b/>
          <w:bCs/>
          <w:sz w:val="24"/>
          <w:szCs w:val="24"/>
        </w:rPr>
      </w:pPr>
    </w:p>
    <w:p w14:paraId="23C70AB3" w14:textId="77777777" w:rsidR="00455188" w:rsidRDefault="00D649C7">
      <w:pPr>
        <w:ind w:left="100" w:right="86"/>
        <w:rPr>
          <w:rFonts w:ascii="Calibri" w:eastAsia="Calibri" w:hAnsi="Calibri" w:cs="Calibri"/>
          <w:sz w:val="24"/>
          <w:szCs w:val="24"/>
        </w:rPr>
      </w:pPr>
      <w:r>
        <w:rPr>
          <w:rFonts w:ascii="Calibri"/>
          <w:b/>
          <w:sz w:val="24"/>
        </w:rPr>
        <w:t>Step 1: Sponsor Program</w:t>
      </w:r>
      <w:r>
        <w:rPr>
          <w:rFonts w:ascii="Calibri"/>
          <w:b/>
          <w:spacing w:val="-10"/>
          <w:sz w:val="24"/>
        </w:rPr>
        <w:t xml:space="preserve"> </w:t>
      </w:r>
      <w:r>
        <w:rPr>
          <w:rFonts w:ascii="Calibri"/>
          <w:b/>
          <w:sz w:val="24"/>
        </w:rPr>
        <w:t>Guidelines</w:t>
      </w:r>
    </w:p>
    <w:p w14:paraId="25F22DFA" w14:textId="55B368CF" w:rsidR="00455188" w:rsidRDefault="00D649C7">
      <w:pPr>
        <w:pStyle w:val="BodyText"/>
        <w:ind w:right="127"/>
      </w:pPr>
      <w:r>
        <w:t xml:space="preserve">The first step in determining the appropriate F&amp;A rate is to read the sponsor </w:t>
      </w:r>
      <w:r w:rsidR="00D43D53">
        <w:t>solicitation</w:t>
      </w:r>
      <w:r>
        <w:t>. If there is a limitation on F&amp;A, the program guidelines or announcement will list the rate that should be used. If the</w:t>
      </w:r>
      <w:r w:rsidR="00E942F0">
        <w:t>re are no</w:t>
      </w:r>
      <w:r>
        <w:t xml:space="preserve"> guidelines</w:t>
      </w:r>
      <w:r w:rsidR="00E942F0">
        <w:t xml:space="preserve"> available, or they</w:t>
      </w:r>
      <w:r>
        <w:t xml:space="preserve"> do not mention F&amp;A or do not indicate that something other than the applicable </w:t>
      </w:r>
      <w:r w:rsidR="00E942F0">
        <w:t>f</w:t>
      </w:r>
      <w:r>
        <w:t>ederal</w:t>
      </w:r>
      <w:r w:rsidR="00E942F0">
        <w:t>ly-negotiated</w:t>
      </w:r>
      <w:r>
        <w:t xml:space="preserve"> F&amp;A rate should be used, than the federally</w:t>
      </w:r>
      <w:r w:rsidR="00E942F0">
        <w:t>-negotiated</w:t>
      </w:r>
      <w:r>
        <w:t xml:space="preserve"> rate should be</w:t>
      </w:r>
      <w:r>
        <w:rPr>
          <w:spacing w:val="-14"/>
        </w:rPr>
        <w:t xml:space="preserve"> </w:t>
      </w:r>
      <w:r>
        <w:t>used.</w:t>
      </w:r>
      <w:r w:rsidR="00D43D53">
        <w:t xml:space="preserve"> </w:t>
      </w:r>
    </w:p>
    <w:p w14:paraId="56DA8518" w14:textId="77777777" w:rsidR="00455188" w:rsidRDefault="00455188">
      <w:pPr>
        <w:spacing w:before="12"/>
        <w:rPr>
          <w:rFonts w:ascii="Calibri" w:eastAsia="Calibri" w:hAnsi="Calibri" w:cs="Calibri"/>
          <w:sz w:val="23"/>
          <w:szCs w:val="23"/>
        </w:rPr>
      </w:pPr>
    </w:p>
    <w:p w14:paraId="1830C92E" w14:textId="77777777" w:rsidR="00455188" w:rsidRDefault="00D649C7">
      <w:pPr>
        <w:pStyle w:val="Heading1"/>
        <w:ind w:right="86"/>
        <w:rPr>
          <w:b w:val="0"/>
          <w:bCs w:val="0"/>
        </w:rPr>
      </w:pPr>
      <w:r>
        <w:t>Step 2: Identify Award Type for Your</w:t>
      </w:r>
      <w:r>
        <w:rPr>
          <w:spacing w:val="-21"/>
        </w:rPr>
        <w:t xml:space="preserve"> </w:t>
      </w:r>
      <w:r>
        <w:t>Project</w:t>
      </w:r>
    </w:p>
    <w:p w14:paraId="22A2ACEC" w14:textId="77777777" w:rsidR="00455188" w:rsidRDefault="00D649C7">
      <w:pPr>
        <w:pStyle w:val="BodyText"/>
        <w:ind w:right="86"/>
      </w:pPr>
      <w:r>
        <w:t>The</w:t>
      </w:r>
      <w:r>
        <w:rPr>
          <w:spacing w:val="-4"/>
        </w:rPr>
        <w:t xml:space="preserve"> </w:t>
      </w:r>
      <w:r>
        <w:t>next</w:t>
      </w:r>
      <w:r>
        <w:rPr>
          <w:spacing w:val="-4"/>
        </w:rPr>
        <w:t xml:space="preserve"> </w:t>
      </w:r>
      <w:r>
        <w:t>step</w:t>
      </w:r>
      <w:r>
        <w:rPr>
          <w:spacing w:val="-2"/>
        </w:rPr>
        <w:t xml:space="preserve"> </w:t>
      </w:r>
      <w:r>
        <w:t>in</w:t>
      </w:r>
      <w:r>
        <w:rPr>
          <w:spacing w:val="-2"/>
        </w:rPr>
        <w:t xml:space="preserve"> </w:t>
      </w:r>
      <w:r>
        <w:t>determining</w:t>
      </w:r>
      <w:r>
        <w:rPr>
          <w:spacing w:val="-5"/>
        </w:rPr>
        <w:t xml:space="preserve"> </w:t>
      </w:r>
      <w:r>
        <w:t>the</w:t>
      </w:r>
      <w:r>
        <w:rPr>
          <w:spacing w:val="-5"/>
        </w:rPr>
        <w:t xml:space="preserve"> </w:t>
      </w:r>
      <w:r>
        <w:t>appropriate</w:t>
      </w:r>
      <w:r>
        <w:rPr>
          <w:spacing w:val="-2"/>
        </w:rPr>
        <w:t xml:space="preserve"> </w:t>
      </w:r>
      <w:r>
        <w:t>rate</w:t>
      </w:r>
      <w:r>
        <w:rPr>
          <w:spacing w:val="-2"/>
        </w:rPr>
        <w:t xml:space="preserve"> </w:t>
      </w:r>
      <w:r>
        <w:t>is</w:t>
      </w:r>
      <w:r>
        <w:rPr>
          <w:spacing w:val="-3"/>
        </w:rPr>
        <w:t xml:space="preserve"> </w:t>
      </w:r>
      <w:r>
        <w:t>to</w:t>
      </w:r>
      <w:r>
        <w:rPr>
          <w:spacing w:val="-2"/>
        </w:rPr>
        <w:t xml:space="preserve"> </w:t>
      </w:r>
      <w:r>
        <w:t>establish</w:t>
      </w:r>
      <w:r>
        <w:rPr>
          <w:spacing w:val="-2"/>
        </w:rPr>
        <w:t xml:space="preserve"> </w:t>
      </w:r>
      <w:r>
        <w:t>what</w:t>
      </w:r>
      <w:r>
        <w:rPr>
          <w:spacing w:val="-4"/>
        </w:rPr>
        <w:t xml:space="preserve"> </w:t>
      </w:r>
      <w:r>
        <w:t>type</w:t>
      </w:r>
      <w:r>
        <w:rPr>
          <w:spacing w:val="-2"/>
        </w:rPr>
        <w:t xml:space="preserve"> </w:t>
      </w:r>
      <w:r>
        <w:t>of</w:t>
      </w:r>
      <w:r>
        <w:rPr>
          <w:spacing w:val="-4"/>
        </w:rPr>
        <w:t xml:space="preserve"> </w:t>
      </w:r>
      <w:r>
        <w:t>project</w:t>
      </w:r>
      <w:r>
        <w:rPr>
          <w:spacing w:val="-4"/>
        </w:rPr>
        <w:t xml:space="preserve"> </w:t>
      </w:r>
      <w:r>
        <w:t>you</w:t>
      </w:r>
      <w:r>
        <w:rPr>
          <w:spacing w:val="-4"/>
        </w:rPr>
        <w:t xml:space="preserve"> </w:t>
      </w:r>
      <w:r>
        <w:t>have.</w:t>
      </w:r>
    </w:p>
    <w:p w14:paraId="55D0B0F3" w14:textId="77777777" w:rsidR="00455188" w:rsidRDefault="00D649C7">
      <w:pPr>
        <w:pStyle w:val="ListParagraph"/>
        <w:numPr>
          <w:ilvl w:val="0"/>
          <w:numId w:val="2"/>
        </w:numPr>
        <w:tabs>
          <w:tab w:val="left" w:pos="996"/>
        </w:tabs>
        <w:spacing w:before="2"/>
        <w:rPr>
          <w:rFonts w:ascii="Calibri" w:eastAsia="Calibri" w:hAnsi="Calibri" w:cs="Calibri"/>
          <w:sz w:val="24"/>
          <w:szCs w:val="24"/>
        </w:rPr>
      </w:pPr>
      <w:r>
        <w:rPr>
          <w:rFonts w:ascii="Calibri"/>
          <w:sz w:val="24"/>
        </w:rPr>
        <w:t>Organized</w:t>
      </w:r>
      <w:r>
        <w:rPr>
          <w:rFonts w:ascii="Calibri"/>
          <w:spacing w:val="-3"/>
          <w:sz w:val="24"/>
        </w:rPr>
        <w:t xml:space="preserve"> </w:t>
      </w:r>
      <w:r>
        <w:rPr>
          <w:rFonts w:ascii="Calibri"/>
          <w:sz w:val="24"/>
        </w:rPr>
        <w:t>Research;</w:t>
      </w:r>
    </w:p>
    <w:p w14:paraId="4221449A" w14:textId="77777777" w:rsidR="00455188" w:rsidRDefault="00D649C7">
      <w:pPr>
        <w:pStyle w:val="ListParagraph"/>
        <w:numPr>
          <w:ilvl w:val="0"/>
          <w:numId w:val="2"/>
        </w:numPr>
        <w:tabs>
          <w:tab w:val="left" w:pos="996"/>
        </w:tabs>
        <w:rPr>
          <w:rFonts w:ascii="Calibri" w:eastAsia="Calibri" w:hAnsi="Calibri" w:cs="Calibri"/>
          <w:sz w:val="24"/>
          <w:szCs w:val="24"/>
        </w:rPr>
      </w:pPr>
      <w:r>
        <w:rPr>
          <w:rFonts w:ascii="Calibri"/>
          <w:sz w:val="24"/>
        </w:rPr>
        <w:t>Instruction and</w:t>
      </w:r>
      <w:r>
        <w:rPr>
          <w:rFonts w:ascii="Calibri"/>
          <w:spacing w:val="-14"/>
          <w:sz w:val="24"/>
        </w:rPr>
        <w:t xml:space="preserve"> </w:t>
      </w:r>
      <w:r>
        <w:rPr>
          <w:rFonts w:ascii="Calibri"/>
          <w:sz w:val="24"/>
        </w:rPr>
        <w:t>Training;</w:t>
      </w:r>
    </w:p>
    <w:p w14:paraId="1151981F" w14:textId="3BF328ED" w:rsidR="00455188" w:rsidRDefault="00D649C7">
      <w:pPr>
        <w:pStyle w:val="ListParagraph"/>
        <w:numPr>
          <w:ilvl w:val="0"/>
          <w:numId w:val="2"/>
        </w:numPr>
        <w:tabs>
          <w:tab w:val="left" w:pos="996"/>
        </w:tabs>
        <w:rPr>
          <w:rFonts w:ascii="Calibri" w:eastAsia="Calibri" w:hAnsi="Calibri" w:cs="Calibri"/>
          <w:sz w:val="24"/>
          <w:szCs w:val="24"/>
        </w:rPr>
      </w:pPr>
      <w:r>
        <w:rPr>
          <w:rFonts w:ascii="Calibri"/>
          <w:sz w:val="24"/>
        </w:rPr>
        <w:t>Other Sponsored Activities</w:t>
      </w:r>
      <w:r w:rsidR="007643DF">
        <w:rPr>
          <w:rFonts w:ascii="Calibri"/>
          <w:sz w:val="24"/>
        </w:rPr>
        <w:t>;</w:t>
      </w:r>
    </w:p>
    <w:p w14:paraId="02459E61" w14:textId="7A75E004" w:rsidR="00455188" w:rsidRPr="00E942F0" w:rsidRDefault="00D649C7">
      <w:pPr>
        <w:pStyle w:val="ListParagraph"/>
        <w:numPr>
          <w:ilvl w:val="0"/>
          <w:numId w:val="2"/>
        </w:numPr>
        <w:tabs>
          <w:tab w:val="left" w:pos="996"/>
        </w:tabs>
        <w:rPr>
          <w:rFonts w:ascii="Calibri" w:eastAsia="Calibri" w:hAnsi="Calibri" w:cs="Calibri"/>
          <w:sz w:val="24"/>
          <w:szCs w:val="24"/>
        </w:rPr>
      </w:pPr>
      <w:r>
        <w:rPr>
          <w:rFonts w:ascii="Calibri"/>
          <w:sz w:val="24"/>
        </w:rPr>
        <w:t>Intergovernmental Personnel Act</w:t>
      </w:r>
      <w:r>
        <w:rPr>
          <w:rFonts w:ascii="Calibri"/>
          <w:spacing w:val="-16"/>
          <w:sz w:val="24"/>
        </w:rPr>
        <w:t xml:space="preserve"> </w:t>
      </w:r>
      <w:r>
        <w:rPr>
          <w:rFonts w:ascii="Calibri"/>
          <w:sz w:val="24"/>
        </w:rPr>
        <w:t>Agreements</w:t>
      </w:r>
      <w:r w:rsidR="007643DF">
        <w:rPr>
          <w:rFonts w:ascii="Calibri"/>
          <w:sz w:val="24"/>
        </w:rPr>
        <w:t>: or</w:t>
      </w:r>
    </w:p>
    <w:p w14:paraId="43D99CCB" w14:textId="77777777" w:rsidR="007643DF" w:rsidRDefault="007643DF">
      <w:pPr>
        <w:pStyle w:val="ListParagraph"/>
        <w:numPr>
          <w:ilvl w:val="0"/>
          <w:numId w:val="2"/>
        </w:numPr>
        <w:tabs>
          <w:tab w:val="left" w:pos="996"/>
        </w:tabs>
        <w:rPr>
          <w:rFonts w:ascii="Calibri" w:eastAsia="Calibri" w:hAnsi="Calibri" w:cs="Calibri"/>
          <w:sz w:val="24"/>
          <w:szCs w:val="24"/>
        </w:rPr>
      </w:pPr>
      <w:r>
        <w:rPr>
          <w:rFonts w:ascii="Calibri"/>
          <w:sz w:val="24"/>
        </w:rPr>
        <w:t>Department of Defense agency (DoD) is sponsor</w:t>
      </w:r>
    </w:p>
    <w:p w14:paraId="0E610260" w14:textId="77777777" w:rsidR="00455188" w:rsidRDefault="00455188">
      <w:pPr>
        <w:spacing w:before="12"/>
        <w:rPr>
          <w:rFonts w:ascii="Calibri" w:eastAsia="Calibri" w:hAnsi="Calibri" w:cs="Calibri"/>
          <w:sz w:val="23"/>
          <w:szCs w:val="23"/>
        </w:rPr>
      </w:pPr>
    </w:p>
    <w:p w14:paraId="3AA4D333" w14:textId="77777777" w:rsidR="00455188" w:rsidRDefault="00D649C7">
      <w:pPr>
        <w:pStyle w:val="Heading1"/>
        <w:ind w:right="86"/>
        <w:rPr>
          <w:b w:val="0"/>
          <w:bCs w:val="0"/>
        </w:rPr>
      </w:pPr>
      <w:r>
        <w:t>Types of</w:t>
      </w:r>
      <w:r>
        <w:rPr>
          <w:spacing w:val="-7"/>
        </w:rPr>
        <w:t xml:space="preserve"> </w:t>
      </w:r>
      <w:r>
        <w:t>Awards:</w:t>
      </w:r>
    </w:p>
    <w:p w14:paraId="60471973" w14:textId="77777777" w:rsidR="00455188" w:rsidRDefault="00455188">
      <w:pPr>
        <w:spacing w:before="12"/>
        <w:rPr>
          <w:rFonts w:ascii="Calibri" w:eastAsia="Calibri" w:hAnsi="Calibri" w:cs="Calibri"/>
          <w:b/>
          <w:bCs/>
          <w:sz w:val="23"/>
          <w:szCs w:val="23"/>
        </w:rPr>
      </w:pPr>
    </w:p>
    <w:p w14:paraId="22A84D63" w14:textId="77777777" w:rsidR="00455188" w:rsidRDefault="00D649C7">
      <w:pPr>
        <w:pStyle w:val="ListParagraph"/>
        <w:numPr>
          <w:ilvl w:val="0"/>
          <w:numId w:val="1"/>
        </w:numPr>
        <w:tabs>
          <w:tab w:val="left" w:pos="376"/>
        </w:tabs>
        <w:ind w:hanging="275"/>
        <w:rPr>
          <w:rFonts w:ascii="Calibri" w:eastAsia="Calibri" w:hAnsi="Calibri" w:cs="Calibri"/>
          <w:sz w:val="24"/>
          <w:szCs w:val="24"/>
        </w:rPr>
      </w:pPr>
      <w:r>
        <w:rPr>
          <w:rFonts w:ascii="Calibri"/>
          <w:b/>
          <w:sz w:val="24"/>
        </w:rPr>
        <w:t>Organized</w:t>
      </w:r>
      <w:r>
        <w:rPr>
          <w:rFonts w:ascii="Calibri"/>
          <w:b/>
          <w:spacing w:val="-10"/>
          <w:sz w:val="24"/>
        </w:rPr>
        <w:t xml:space="preserve"> </w:t>
      </w:r>
      <w:r>
        <w:rPr>
          <w:rFonts w:ascii="Calibri"/>
          <w:b/>
          <w:sz w:val="24"/>
        </w:rPr>
        <w:t>Research</w:t>
      </w:r>
    </w:p>
    <w:p w14:paraId="2DAD8511" w14:textId="1264C185" w:rsidR="00455188" w:rsidRDefault="00D649C7">
      <w:pPr>
        <w:pStyle w:val="BodyText"/>
        <w:ind w:right="198"/>
        <w:rPr>
          <w:rFonts w:cs="Calibri"/>
        </w:rPr>
      </w:pPr>
      <w:r>
        <w:t xml:space="preserve">Organized Research is described as all research and development activities that are sponsored </w:t>
      </w:r>
      <w:r w:rsidR="000E0CD2">
        <w:rPr>
          <w:rFonts w:cs="Calibri"/>
        </w:rPr>
        <w:t>by Federal and non‐F</w:t>
      </w:r>
      <w:r>
        <w:rPr>
          <w:rFonts w:cs="Calibri"/>
        </w:rPr>
        <w:t xml:space="preserve">ederal </w:t>
      </w:r>
      <w:r w:rsidR="00D43D53">
        <w:rPr>
          <w:rFonts w:cs="Calibri"/>
        </w:rPr>
        <w:t>sponsors</w:t>
      </w:r>
      <w:r>
        <w:rPr>
          <w:rFonts w:cs="Calibri"/>
        </w:rPr>
        <w:t>.</w:t>
      </w:r>
    </w:p>
    <w:p w14:paraId="74D69631" w14:textId="77777777" w:rsidR="00455188" w:rsidRDefault="00455188">
      <w:pPr>
        <w:spacing w:before="12"/>
        <w:rPr>
          <w:rFonts w:ascii="Calibri" w:eastAsia="Calibri" w:hAnsi="Calibri" w:cs="Calibri"/>
          <w:sz w:val="23"/>
          <w:szCs w:val="23"/>
        </w:rPr>
      </w:pPr>
    </w:p>
    <w:p w14:paraId="674CDEC5" w14:textId="77777777" w:rsidR="00455188" w:rsidRDefault="00D649C7">
      <w:pPr>
        <w:pStyle w:val="BodyText"/>
        <w:ind w:right="86"/>
      </w:pPr>
      <w:r>
        <w:t>Examples of sponsored research</w:t>
      </w:r>
      <w:r>
        <w:rPr>
          <w:spacing w:val="-17"/>
        </w:rPr>
        <w:t xml:space="preserve"> </w:t>
      </w:r>
      <w:r>
        <w:t>include:</w:t>
      </w:r>
    </w:p>
    <w:p w14:paraId="0B0B06E8" w14:textId="77777777" w:rsidR="00455188" w:rsidRDefault="00D649C7">
      <w:pPr>
        <w:pStyle w:val="ListParagraph"/>
        <w:numPr>
          <w:ilvl w:val="1"/>
          <w:numId w:val="1"/>
        </w:numPr>
        <w:tabs>
          <w:tab w:val="left" w:pos="1181"/>
        </w:tabs>
        <w:rPr>
          <w:rFonts w:ascii="Calibri" w:eastAsia="Calibri" w:hAnsi="Calibri" w:cs="Calibri"/>
          <w:sz w:val="24"/>
          <w:szCs w:val="24"/>
        </w:rPr>
      </w:pPr>
      <w:r>
        <w:rPr>
          <w:rFonts w:ascii="Calibri"/>
          <w:sz w:val="24"/>
        </w:rPr>
        <w:t>Awards to UMD faculty to support research</w:t>
      </w:r>
      <w:r>
        <w:rPr>
          <w:rFonts w:ascii="Calibri"/>
          <w:spacing w:val="-22"/>
          <w:sz w:val="24"/>
        </w:rPr>
        <w:t xml:space="preserve"> </w:t>
      </w:r>
      <w:r>
        <w:rPr>
          <w:rFonts w:ascii="Calibri"/>
          <w:sz w:val="24"/>
        </w:rPr>
        <w:t>activities</w:t>
      </w:r>
    </w:p>
    <w:p w14:paraId="4114B5DE" w14:textId="77777777" w:rsidR="00455188" w:rsidRDefault="00D649C7">
      <w:pPr>
        <w:pStyle w:val="ListParagraph"/>
        <w:numPr>
          <w:ilvl w:val="1"/>
          <w:numId w:val="1"/>
        </w:numPr>
        <w:tabs>
          <w:tab w:val="left" w:pos="1181"/>
        </w:tabs>
        <w:spacing w:line="242" w:lineRule="auto"/>
        <w:ind w:right="449"/>
        <w:rPr>
          <w:rFonts w:ascii="Calibri" w:eastAsia="Calibri" w:hAnsi="Calibri" w:cs="Calibri"/>
          <w:sz w:val="24"/>
          <w:szCs w:val="24"/>
        </w:rPr>
      </w:pPr>
      <w:r>
        <w:rPr>
          <w:rFonts w:ascii="Calibri"/>
          <w:sz w:val="24"/>
        </w:rPr>
        <w:t>External funding to maintain facilities or equipment and/or operation of a</w:t>
      </w:r>
      <w:r>
        <w:rPr>
          <w:rFonts w:ascii="Calibri"/>
          <w:spacing w:val="-37"/>
          <w:sz w:val="24"/>
        </w:rPr>
        <w:t xml:space="preserve"> </w:t>
      </w:r>
      <w:r>
        <w:rPr>
          <w:rFonts w:ascii="Calibri"/>
          <w:sz w:val="24"/>
        </w:rPr>
        <w:t>center facility which will be used for</w:t>
      </w:r>
      <w:r>
        <w:rPr>
          <w:rFonts w:ascii="Calibri"/>
          <w:spacing w:val="-15"/>
          <w:sz w:val="24"/>
        </w:rPr>
        <w:t xml:space="preserve"> </w:t>
      </w:r>
      <w:r>
        <w:rPr>
          <w:rFonts w:ascii="Calibri"/>
          <w:sz w:val="24"/>
        </w:rPr>
        <w:t>research</w:t>
      </w:r>
    </w:p>
    <w:p w14:paraId="5291D958" w14:textId="77777777" w:rsidR="00455188" w:rsidRDefault="00D649C7">
      <w:pPr>
        <w:pStyle w:val="ListParagraph"/>
        <w:numPr>
          <w:ilvl w:val="1"/>
          <w:numId w:val="1"/>
        </w:numPr>
        <w:tabs>
          <w:tab w:val="left" w:pos="1181"/>
        </w:tabs>
        <w:ind w:right="618"/>
        <w:rPr>
          <w:rFonts w:ascii="Calibri" w:eastAsia="Calibri" w:hAnsi="Calibri" w:cs="Calibri"/>
          <w:sz w:val="24"/>
          <w:szCs w:val="24"/>
        </w:rPr>
      </w:pPr>
      <w:r>
        <w:rPr>
          <w:rFonts w:ascii="Calibri"/>
          <w:sz w:val="24"/>
        </w:rPr>
        <w:t>External support for the writing of books, when the purpose of the writing is to publish research</w:t>
      </w:r>
      <w:r>
        <w:rPr>
          <w:rFonts w:ascii="Calibri"/>
          <w:spacing w:val="-10"/>
          <w:sz w:val="24"/>
        </w:rPr>
        <w:t xml:space="preserve"> </w:t>
      </w:r>
      <w:r>
        <w:rPr>
          <w:rFonts w:ascii="Calibri"/>
          <w:sz w:val="24"/>
        </w:rPr>
        <w:t>results</w:t>
      </w:r>
    </w:p>
    <w:p w14:paraId="404BDAB0" w14:textId="77777777" w:rsidR="00455188" w:rsidRDefault="00D649C7">
      <w:pPr>
        <w:pStyle w:val="ListParagraph"/>
        <w:numPr>
          <w:ilvl w:val="1"/>
          <w:numId w:val="1"/>
        </w:numPr>
        <w:tabs>
          <w:tab w:val="left" w:pos="1181"/>
        </w:tabs>
        <w:rPr>
          <w:rFonts w:ascii="Calibri" w:eastAsia="Calibri" w:hAnsi="Calibri" w:cs="Calibri"/>
          <w:sz w:val="24"/>
          <w:szCs w:val="24"/>
        </w:rPr>
      </w:pPr>
      <w:r>
        <w:rPr>
          <w:rFonts w:ascii="Calibri"/>
          <w:sz w:val="24"/>
        </w:rPr>
        <w:t>Data collection, evaluation, analysis and/or</w:t>
      </w:r>
      <w:r>
        <w:rPr>
          <w:rFonts w:ascii="Calibri"/>
          <w:spacing w:val="-23"/>
          <w:sz w:val="24"/>
        </w:rPr>
        <w:t xml:space="preserve"> </w:t>
      </w:r>
      <w:r>
        <w:rPr>
          <w:rFonts w:ascii="Calibri"/>
          <w:sz w:val="24"/>
        </w:rPr>
        <w:t>reporting</w:t>
      </w:r>
    </w:p>
    <w:p w14:paraId="391163FC" w14:textId="77777777" w:rsidR="00455188" w:rsidRDefault="00455188">
      <w:pPr>
        <w:spacing w:before="12"/>
        <w:rPr>
          <w:rFonts w:ascii="Calibri" w:eastAsia="Calibri" w:hAnsi="Calibri" w:cs="Calibri"/>
          <w:sz w:val="23"/>
          <w:szCs w:val="23"/>
        </w:rPr>
      </w:pPr>
    </w:p>
    <w:p w14:paraId="6B35906A" w14:textId="77777777" w:rsidR="00455188" w:rsidRDefault="00D649C7">
      <w:pPr>
        <w:pStyle w:val="Heading1"/>
        <w:numPr>
          <w:ilvl w:val="0"/>
          <w:numId w:val="1"/>
        </w:numPr>
        <w:tabs>
          <w:tab w:val="left" w:pos="365"/>
        </w:tabs>
        <w:spacing w:line="293" w:lineRule="exact"/>
        <w:ind w:left="364" w:hanging="264"/>
        <w:rPr>
          <w:b w:val="0"/>
          <w:bCs w:val="0"/>
        </w:rPr>
      </w:pPr>
      <w:r>
        <w:t>Instruction and</w:t>
      </w:r>
      <w:r>
        <w:rPr>
          <w:spacing w:val="-12"/>
        </w:rPr>
        <w:t xml:space="preserve"> </w:t>
      </w:r>
      <w:r>
        <w:t>Training</w:t>
      </w:r>
    </w:p>
    <w:p w14:paraId="00F2127F" w14:textId="2D1307DA" w:rsidR="00455188" w:rsidRDefault="00D649C7">
      <w:pPr>
        <w:pStyle w:val="BodyText"/>
        <w:ind w:right="86"/>
        <w:rPr>
          <w:rFonts w:cs="Calibri"/>
        </w:rPr>
      </w:pPr>
      <w:r>
        <w:t>Sponsored</w:t>
      </w:r>
      <w:r>
        <w:rPr>
          <w:spacing w:val="-3"/>
        </w:rPr>
        <w:t xml:space="preserve"> </w:t>
      </w:r>
      <w:r>
        <w:t>Instruction</w:t>
      </w:r>
      <w:r>
        <w:rPr>
          <w:spacing w:val="-2"/>
        </w:rPr>
        <w:t xml:space="preserve"> </w:t>
      </w:r>
      <w:r>
        <w:t>is</w:t>
      </w:r>
      <w:r>
        <w:rPr>
          <w:spacing w:val="-7"/>
        </w:rPr>
        <w:t xml:space="preserve"> </w:t>
      </w:r>
      <w:r>
        <w:t>defined</w:t>
      </w:r>
      <w:r>
        <w:rPr>
          <w:spacing w:val="-3"/>
        </w:rPr>
        <w:t xml:space="preserve"> </w:t>
      </w:r>
      <w:r>
        <w:t>as</w:t>
      </w:r>
      <w:r>
        <w:rPr>
          <w:spacing w:val="-4"/>
        </w:rPr>
        <w:t xml:space="preserve"> </w:t>
      </w:r>
      <w:r>
        <w:t>teaching</w:t>
      </w:r>
      <w:r>
        <w:rPr>
          <w:spacing w:val="-2"/>
        </w:rPr>
        <w:t xml:space="preserve"> </w:t>
      </w:r>
      <w:r>
        <w:t>and</w:t>
      </w:r>
      <w:r>
        <w:rPr>
          <w:spacing w:val="-3"/>
        </w:rPr>
        <w:t xml:space="preserve"> </w:t>
      </w:r>
      <w:r>
        <w:t>training</w:t>
      </w:r>
      <w:r>
        <w:rPr>
          <w:spacing w:val="-4"/>
        </w:rPr>
        <w:t xml:space="preserve"> </w:t>
      </w:r>
      <w:r>
        <w:t>activities</w:t>
      </w:r>
      <w:r>
        <w:rPr>
          <w:spacing w:val="-2"/>
        </w:rPr>
        <w:t xml:space="preserve"> </w:t>
      </w:r>
      <w:r>
        <w:t>at</w:t>
      </w:r>
      <w:r>
        <w:rPr>
          <w:spacing w:val="-3"/>
        </w:rPr>
        <w:t xml:space="preserve"> </w:t>
      </w:r>
      <w:r>
        <w:t>UMD</w:t>
      </w:r>
      <w:r>
        <w:rPr>
          <w:spacing w:val="-3"/>
        </w:rPr>
        <w:t xml:space="preserve"> </w:t>
      </w:r>
      <w:r>
        <w:t>funded</w:t>
      </w:r>
      <w:r>
        <w:rPr>
          <w:spacing w:val="-3"/>
        </w:rPr>
        <w:t xml:space="preserve"> </w:t>
      </w:r>
      <w:r>
        <w:t>by</w:t>
      </w:r>
      <w:r>
        <w:rPr>
          <w:spacing w:val="-2"/>
        </w:rPr>
        <w:t xml:space="preserve"> </w:t>
      </w:r>
      <w:r>
        <w:rPr>
          <w:rFonts w:cs="Calibri"/>
        </w:rPr>
        <w:t>Federal or non‐Federal</w:t>
      </w:r>
      <w:r>
        <w:rPr>
          <w:rFonts w:cs="Calibri"/>
          <w:spacing w:val="-28"/>
        </w:rPr>
        <w:t xml:space="preserve"> </w:t>
      </w:r>
      <w:r>
        <w:rPr>
          <w:rFonts w:cs="Calibri"/>
        </w:rPr>
        <w:t>sponsors.</w:t>
      </w:r>
    </w:p>
    <w:p w14:paraId="61BC3979" w14:textId="77777777" w:rsidR="00455188" w:rsidRDefault="00455188">
      <w:pPr>
        <w:rPr>
          <w:rFonts w:ascii="Calibri" w:eastAsia="Calibri" w:hAnsi="Calibri" w:cs="Calibri"/>
        </w:rPr>
        <w:sectPr w:rsidR="00455188">
          <w:type w:val="continuous"/>
          <w:pgSz w:w="12240" w:h="15840"/>
          <w:pgMar w:top="1400" w:right="1400" w:bottom="280" w:left="1340" w:header="720" w:footer="720" w:gutter="0"/>
          <w:cols w:space="720"/>
        </w:sectPr>
      </w:pPr>
    </w:p>
    <w:p w14:paraId="0CF5BEAA" w14:textId="77777777" w:rsidR="00455188" w:rsidRDefault="00455188">
      <w:pPr>
        <w:spacing w:before="10"/>
        <w:rPr>
          <w:rFonts w:ascii="Calibri" w:eastAsia="Calibri" w:hAnsi="Calibri" w:cs="Calibri"/>
          <w:sz w:val="14"/>
          <w:szCs w:val="14"/>
        </w:rPr>
      </w:pPr>
    </w:p>
    <w:p w14:paraId="4AA02752" w14:textId="77777777" w:rsidR="00455188" w:rsidRDefault="00D649C7">
      <w:pPr>
        <w:pStyle w:val="BodyText"/>
        <w:spacing w:before="51"/>
        <w:ind w:right="86"/>
      </w:pPr>
      <w:r>
        <w:t>Sponsored Instruction</w:t>
      </w:r>
      <w:r>
        <w:rPr>
          <w:spacing w:val="-16"/>
        </w:rPr>
        <w:t xml:space="preserve"> </w:t>
      </w:r>
      <w:r>
        <w:t>includes:</w:t>
      </w:r>
    </w:p>
    <w:p w14:paraId="7D114B07" w14:textId="77777777" w:rsidR="00455188" w:rsidRDefault="00D649C7">
      <w:pPr>
        <w:pStyle w:val="ListParagraph"/>
        <w:numPr>
          <w:ilvl w:val="1"/>
          <w:numId w:val="1"/>
        </w:numPr>
        <w:tabs>
          <w:tab w:val="left" w:pos="1181"/>
        </w:tabs>
        <w:ind w:right="142"/>
        <w:rPr>
          <w:rFonts w:ascii="Calibri" w:eastAsia="Calibri" w:hAnsi="Calibri" w:cs="Calibri"/>
          <w:sz w:val="24"/>
          <w:szCs w:val="24"/>
        </w:rPr>
      </w:pPr>
      <w:r>
        <w:rPr>
          <w:rFonts w:ascii="Calibri"/>
          <w:sz w:val="24"/>
        </w:rPr>
        <w:t>Any project for which the purpose is to instruct any student at any location; recipients</w:t>
      </w:r>
      <w:r>
        <w:rPr>
          <w:rFonts w:ascii="Calibri"/>
          <w:spacing w:val="-3"/>
          <w:sz w:val="24"/>
        </w:rPr>
        <w:t xml:space="preserve"> </w:t>
      </w:r>
      <w:r>
        <w:rPr>
          <w:rFonts w:ascii="Calibri"/>
          <w:sz w:val="24"/>
        </w:rPr>
        <w:t>of</w:t>
      </w:r>
      <w:r>
        <w:rPr>
          <w:rFonts w:ascii="Calibri"/>
          <w:spacing w:val="-3"/>
          <w:sz w:val="24"/>
        </w:rPr>
        <w:t xml:space="preserve"> </w:t>
      </w:r>
      <w:r>
        <w:rPr>
          <w:rFonts w:ascii="Calibri"/>
          <w:sz w:val="24"/>
        </w:rPr>
        <w:t>his/her</w:t>
      </w:r>
      <w:r>
        <w:rPr>
          <w:rFonts w:ascii="Calibri"/>
          <w:spacing w:val="-2"/>
          <w:sz w:val="24"/>
        </w:rPr>
        <w:t xml:space="preserve"> </w:t>
      </w:r>
      <w:r>
        <w:rPr>
          <w:rFonts w:ascii="Calibri"/>
          <w:sz w:val="24"/>
        </w:rPr>
        <w:t>instruction</w:t>
      </w:r>
      <w:r>
        <w:rPr>
          <w:rFonts w:ascii="Calibri"/>
          <w:spacing w:val="-2"/>
          <w:sz w:val="24"/>
        </w:rPr>
        <w:t xml:space="preserve"> </w:t>
      </w:r>
      <w:r>
        <w:rPr>
          <w:rFonts w:ascii="Calibri"/>
          <w:sz w:val="24"/>
        </w:rPr>
        <w:t>may</w:t>
      </w:r>
      <w:r>
        <w:rPr>
          <w:rFonts w:ascii="Calibri"/>
          <w:spacing w:val="-5"/>
          <w:sz w:val="24"/>
        </w:rPr>
        <w:t xml:space="preserve"> </w:t>
      </w:r>
      <w:r>
        <w:rPr>
          <w:rFonts w:ascii="Calibri"/>
          <w:sz w:val="24"/>
        </w:rPr>
        <w:t>be</w:t>
      </w:r>
      <w:r>
        <w:rPr>
          <w:rFonts w:ascii="Calibri"/>
          <w:spacing w:val="-2"/>
          <w:sz w:val="24"/>
        </w:rPr>
        <w:t xml:space="preserve"> </w:t>
      </w:r>
      <w:r>
        <w:rPr>
          <w:rFonts w:ascii="Calibri"/>
          <w:sz w:val="24"/>
        </w:rPr>
        <w:t>UMD</w:t>
      </w:r>
      <w:r>
        <w:rPr>
          <w:rFonts w:ascii="Calibri"/>
          <w:spacing w:val="-4"/>
          <w:sz w:val="24"/>
        </w:rPr>
        <w:t xml:space="preserve"> </w:t>
      </w:r>
      <w:r>
        <w:rPr>
          <w:rFonts w:ascii="Calibri"/>
          <w:sz w:val="24"/>
        </w:rPr>
        <w:t>students</w:t>
      </w:r>
      <w:r>
        <w:rPr>
          <w:rFonts w:ascii="Calibri"/>
          <w:spacing w:val="-3"/>
          <w:sz w:val="24"/>
        </w:rPr>
        <w:t xml:space="preserve"> </w:t>
      </w:r>
      <w:r>
        <w:rPr>
          <w:rFonts w:ascii="Calibri"/>
          <w:sz w:val="24"/>
        </w:rPr>
        <w:t>or</w:t>
      </w:r>
      <w:r>
        <w:rPr>
          <w:rFonts w:ascii="Calibri"/>
          <w:spacing w:val="-5"/>
          <w:sz w:val="24"/>
        </w:rPr>
        <w:t xml:space="preserve"> </w:t>
      </w:r>
      <w:r>
        <w:rPr>
          <w:rFonts w:ascii="Calibri"/>
          <w:sz w:val="24"/>
        </w:rPr>
        <w:t>staff,</w:t>
      </w:r>
      <w:r>
        <w:rPr>
          <w:rFonts w:ascii="Calibri"/>
          <w:spacing w:val="-5"/>
          <w:sz w:val="24"/>
        </w:rPr>
        <w:t xml:space="preserve"> </w:t>
      </w:r>
      <w:r>
        <w:rPr>
          <w:rFonts w:ascii="Calibri"/>
          <w:sz w:val="24"/>
        </w:rPr>
        <w:t>teachers</w:t>
      </w:r>
      <w:r>
        <w:rPr>
          <w:rFonts w:ascii="Calibri"/>
          <w:spacing w:val="-5"/>
          <w:sz w:val="24"/>
        </w:rPr>
        <w:t xml:space="preserve"> </w:t>
      </w:r>
      <w:r>
        <w:rPr>
          <w:rFonts w:ascii="Calibri"/>
          <w:sz w:val="24"/>
        </w:rPr>
        <w:t>or</w:t>
      </w:r>
      <w:r>
        <w:rPr>
          <w:rFonts w:ascii="Calibri"/>
          <w:spacing w:val="-2"/>
          <w:sz w:val="24"/>
        </w:rPr>
        <w:t xml:space="preserve"> </w:t>
      </w:r>
      <w:r>
        <w:rPr>
          <w:rFonts w:ascii="Calibri"/>
          <w:sz w:val="24"/>
        </w:rPr>
        <w:t>students in elementary or secondary schools, or the general</w:t>
      </w:r>
      <w:r>
        <w:rPr>
          <w:rFonts w:ascii="Calibri"/>
          <w:spacing w:val="-21"/>
          <w:sz w:val="24"/>
        </w:rPr>
        <w:t xml:space="preserve"> </w:t>
      </w:r>
      <w:r>
        <w:rPr>
          <w:rFonts w:ascii="Calibri"/>
          <w:sz w:val="24"/>
        </w:rPr>
        <w:t>public</w:t>
      </w:r>
    </w:p>
    <w:p w14:paraId="1B784E5F" w14:textId="77777777" w:rsidR="00455188" w:rsidRDefault="00D649C7">
      <w:pPr>
        <w:pStyle w:val="ListParagraph"/>
        <w:numPr>
          <w:ilvl w:val="1"/>
          <w:numId w:val="1"/>
        </w:numPr>
        <w:tabs>
          <w:tab w:val="left" w:pos="1181"/>
        </w:tabs>
        <w:ind w:right="455"/>
        <w:rPr>
          <w:rFonts w:ascii="Calibri" w:eastAsia="Calibri" w:hAnsi="Calibri" w:cs="Calibri"/>
          <w:sz w:val="24"/>
          <w:szCs w:val="24"/>
        </w:rPr>
      </w:pPr>
      <w:r>
        <w:rPr>
          <w:rFonts w:ascii="Calibri" w:eastAsia="Calibri" w:hAnsi="Calibri" w:cs="Calibri"/>
          <w:sz w:val="24"/>
          <w:szCs w:val="24"/>
        </w:rPr>
        <w:t>Curriculum development projects at any level, including projects which involve evaluation of curriculum or teaching methods. Note that such evaluation may</w:t>
      </w:r>
      <w:r>
        <w:rPr>
          <w:rFonts w:ascii="Calibri" w:eastAsia="Calibri" w:hAnsi="Calibri" w:cs="Calibri"/>
          <w:spacing w:val="-31"/>
          <w:sz w:val="24"/>
          <w:szCs w:val="24"/>
        </w:rPr>
        <w:t xml:space="preserve"> </w:t>
      </w:r>
      <w:r>
        <w:rPr>
          <w:rFonts w:ascii="Calibri" w:eastAsia="Calibri" w:hAnsi="Calibri" w:cs="Calibri"/>
          <w:sz w:val="24"/>
          <w:szCs w:val="24"/>
        </w:rPr>
        <w:t>be considered “research” when the preponderance of activity is data collection, evaluation and</w:t>
      </w:r>
      <w:r>
        <w:rPr>
          <w:rFonts w:ascii="Calibri" w:eastAsia="Calibri" w:hAnsi="Calibri" w:cs="Calibri"/>
          <w:spacing w:val="-5"/>
          <w:sz w:val="24"/>
          <w:szCs w:val="24"/>
        </w:rPr>
        <w:t xml:space="preserve"> </w:t>
      </w:r>
      <w:r>
        <w:rPr>
          <w:rFonts w:ascii="Calibri" w:eastAsia="Calibri" w:hAnsi="Calibri" w:cs="Calibri"/>
          <w:sz w:val="24"/>
          <w:szCs w:val="24"/>
        </w:rPr>
        <w:t>reporting</w:t>
      </w:r>
    </w:p>
    <w:p w14:paraId="0D1CB95D" w14:textId="52AE5DB9" w:rsidR="00455188" w:rsidRPr="00D4148D" w:rsidRDefault="00D649C7" w:rsidP="00D4148D">
      <w:pPr>
        <w:pStyle w:val="ListParagraph"/>
        <w:numPr>
          <w:ilvl w:val="1"/>
          <w:numId w:val="1"/>
        </w:numPr>
        <w:tabs>
          <w:tab w:val="left" w:pos="1181"/>
        </w:tabs>
        <w:ind w:right="173"/>
        <w:rPr>
          <w:rFonts w:ascii="Calibri" w:eastAsia="Calibri" w:hAnsi="Calibri" w:cs="Calibri"/>
          <w:sz w:val="24"/>
          <w:szCs w:val="24"/>
        </w:rPr>
      </w:pPr>
      <w:r>
        <w:rPr>
          <w:rFonts w:ascii="Calibri"/>
          <w:sz w:val="24"/>
        </w:rPr>
        <w:t>Projects</w:t>
      </w:r>
      <w:r>
        <w:rPr>
          <w:rFonts w:ascii="Calibri"/>
          <w:spacing w:val="-6"/>
          <w:sz w:val="24"/>
        </w:rPr>
        <w:t xml:space="preserve"> </w:t>
      </w:r>
      <w:r>
        <w:rPr>
          <w:rFonts w:ascii="Calibri"/>
          <w:sz w:val="24"/>
        </w:rPr>
        <w:t>which</w:t>
      </w:r>
      <w:r>
        <w:rPr>
          <w:rFonts w:ascii="Calibri"/>
          <w:spacing w:val="-3"/>
          <w:sz w:val="24"/>
        </w:rPr>
        <w:t xml:space="preserve"> </w:t>
      </w:r>
      <w:r>
        <w:rPr>
          <w:rFonts w:ascii="Calibri"/>
          <w:sz w:val="24"/>
        </w:rPr>
        <w:t>involve</w:t>
      </w:r>
      <w:r>
        <w:rPr>
          <w:rFonts w:ascii="Calibri"/>
          <w:spacing w:val="-4"/>
          <w:sz w:val="24"/>
        </w:rPr>
        <w:t xml:space="preserve"> </w:t>
      </w:r>
      <w:r>
        <w:rPr>
          <w:rFonts w:ascii="Calibri"/>
          <w:sz w:val="24"/>
        </w:rPr>
        <w:t>UMD</w:t>
      </w:r>
      <w:r>
        <w:rPr>
          <w:rFonts w:ascii="Calibri"/>
          <w:spacing w:val="-3"/>
          <w:sz w:val="24"/>
        </w:rPr>
        <w:t xml:space="preserve"> </w:t>
      </w:r>
      <w:r>
        <w:rPr>
          <w:rFonts w:ascii="Calibri"/>
          <w:sz w:val="24"/>
        </w:rPr>
        <w:t>students</w:t>
      </w:r>
      <w:r>
        <w:rPr>
          <w:rFonts w:ascii="Calibri"/>
          <w:spacing w:val="-4"/>
          <w:sz w:val="24"/>
        </w:rPr>
        <w:t xml:space="preserve"> </w:t>
      </w:r>
      <w:r>
        <w:rPr>
          <w:rFonts w:ascii="Calibri"/>
          <w:sz w:val="24"/>
        </w:rPr>
        <w:t>in</w:t>
      </w:r>
      <w:r>
        <w:rPr>
          <w:rFonts w:ascii="Calibri"/>
          <w:spacing w:val="-3"/>
          <w:sz w:val="24"/>
        </w:rPr>
        <w:t xml:space="preserve"> </w:t>
      </w:r>
      <w:r>
        <w:rPr>
          <w:rFonts w:ascii="Calibri"/>
          <w:sz w:val="24"/>
        </w:rPr>
        <w:t>community</w:t>
      </w:r>
      <w:r>
        <w:rPr>
          <w:rFonts w:ascii="Calibri"/>
          <w:spacing w:val="-4"/>
          <w:sz w:val="24"/>
        </w:rPr>
        <w:t xml:space="preserve"> </w:t>
      </w:r>
      <w:r>
        <w:rPr>
          <w:rFonts w:ascii="Calibri"/>
          <w:sz w:val="24"/>
        </w:rPr>
        <w:t>service</w:t>
      </w:r>
      <w:r>
        <w:rPr>
          <w:rFonts w:ascii="Calibri"/>
          <w:spacing w:val="-3"/>
          <w:sz w:val="24"/>
        </w:rPr>
        <w:t xml:space="preserve"> </w:t>
      </w:r>
      <w:r>
        <w:rPr>
          <w:rFonts w:ascii="Calibri"/>
          <w:sz w:val="24"/>
        </w:rPr>
        <w:t>activities</w:t>
      </w:r>
      <w:r>
        <w:rPr>
          <w:rFonts w:ascii="Calibri"/>
          <w:spacing w:val="-6"/>
          <w:sz w:val="24"/>
        </w:rPr>
        <w:t xml:space="preserve"> </w:t>
      </w:r>
      <w:r>
        <w:rPr>
          <w:rFonts w:ascii="Calibri"/>
          <w:sz w:val="24"/>
        </w:rPr>
        <w:t>for</w:t>
      </w:r>
      <w:r>
        <w:rPr>
          <w:rFonts w:ascii="Calibri"/>
          <w:spacing w:val="-8"/>
          <w:sz w:val="24"/>
        </w:rPr>
        <w:t xml:space="preserve"> </w:t>
      </w:r>
      <w:r>
        <w:rPr>
          <w:rFonts w:ascii="Calibri"/>
          <w:sz w:val="24"/>
        </w:rPr>
        <w:t>which</w:t>
      </w:r>
      <w:r>
        <w:rPr>
          <w:rFonts w:ascii="Calibri"/>
          <w:spacing w:val="-3"/>
          <w:sz w:val="24"/>
        </w:rPr>
        <w:t xml:space="preserve"> </w:t>
      </w:r>
      <w:r>
        <w:rPr>
          <w:rFonts w:ascii="Calibri"/>
          <w:sz w:val="24"/>
        </w:rPr>
        <w:t>they are receiving academic</w:t>
      </w:r>
      <w:r>
        <w:rPr>
          <w:rFonts w:ascii="Calibri"/>
          <w:spacing w:val="-5"/>
          <w:sz w:val="24"/>
        </w:rPr>
        <w:t xml:space="preserve"> </w:t>
      </w:r>
      <w:r>
        <w:rPr>
          <w:rFonts w:ascii="Calibri"/>
          <w:sz w:val="24"/>
        </w:rPr>
        <w:t>credit</w:t>
      </w:r>
    </w:p>
    <w:p w14:paraId="21FFD0B2" w14:textId="77777777" w:rsidR="00455188" w:rsidRDefault="00D649C7">
      <w:pPr>
        <w:pStyle w:val="ListParagraph"/>
        <w:numPr>
          <w:ilvl w:val="1"/>
          <w:numId w:val="1"/>
        </w:numPr>
        <w:tabs>
          <w:tab w:val="left" w:pos="1181"/>
        </w:tabs>
        <w:ind w:right="273"/>
        <w:rPr>
          <w:rFonts w:ascii="Calibri" w:eastAsia="Calibri" w:hAnsi="Calibri" w:cs="Calibri"/>
          <w:sz w:val="24"/>
          <w:szCs w:val="24"/>
        </w:rPr>
      </w:pPr>
      <w:r>
        <w:rPr>
          <w:rFonts w:ascii="Calibri"/>
          <w:sz w:val="24"/>
        </w:rPr>
        <w:t>General</w:t>
      </w:r>
      <w:r>
        <w:rPr>
          <w:rFonts w:ascii="Calibri"/>
          <w:spacing w:val="-5"/>
          <w:sz w:val="24"/>
        </w:rPr>
        <w:t xml:space="preserve"> </w:t>
      </w:r>
      <w:r>
        <w:rPr>
          <w:rFonts w:ascii="Calibri"/>
          <w:sz w:val="24"/>
        </w:rPr>
        <w:t>support</w:t>
      </w:r>
      <w:r>
        <w:rPr>
          <w:rFonts w:ascii="Calibri"/>
          <w:spacing w:val="-4"/>
          <w:sz w:val="24"/>
        </w:rPr>
        <w:t xml:space="preserve"> </w:t>
      </w:r>
      <w:r>
        <w:rPr>
          <w:rFonts w:ascii="Calibri"/>
          <w:sz w:val="24"/>
        </w:rPr>
        <w:t>for</w:t>
      </w:r>
      <w:r>
        <w:rPr>
          <w:rFonts w:ascii="Calibri"/>
          <w:spacing w:val="-5"/>
          <w:sz w:val="24"/>
        </w:rPr>
        <w:t xml:space="preserve"> </w:t>
      </w:r>
      <w:r>
        <w:rPr>
          <w:rFonts w:ascii="Calibri"/>
          <w:sz w:val="24"/>
        </w:rPr>
        <w:t>the</w:t>
      </w:r>
      <w:r>
        <w:rPr>
          <w:rFonts w:ascii="Calibri"/>
          <w:spacing w:val="-4"/>
          <w:sz w:val="24"/>
        </w:rPr>
        <w:t xml:space="preserve"> </w:t>
      </w:r>
      <w:r>
        <w:rPr>
          <w:rFonts w:ascii="Calibri"/>
          <w:sz w:val="24"/>
        </w:rPr>
        <w:t>writing</w:t>
      </w:r>
      <w:r>
        <w:rPr>
          <w:rFonts w:ascii="Calibri"/>
          <w:spacing w:val="-3"/>
          <w:sz w:val="24"/>
        </w:rPr>
        <w:t xml:space="preserve"> </w:t>
      </w:r>
      <w:r>
        <w:rPr>
          <w:rFonts w:ascii="Calibri"/>
          <w:sz w:val="24"/>
        </w:rPr>
        <w:t>of</w:t>
      </w:r>
      <w:r>
        <w:rPr>
          <w:rFonts w:ascii="Calibri"/>
          <w:spacing w:val="-4"/>
          <w:sz w:val="24"/>
        </w:rPr>
        <w:t xml:space="preserve"> </w:t>
      </w:r>
      <w:r>
        <w:rPr>
          <w:rFonts w:ascii="Calibri"/>
          <w:sz w:val="24"/>
        </w:rPr>
        <w:t>textbooks</w:t>
      </w:r>
      <w:r>
        <w:rPr>
          <w:rFonts w:ascii="Calibri"/>
          <w:spacing w:val="-3"/>
          <w:sz w:val="24"/>
        </w:rPr>
        <w:t xml:space="preserve"> </w:t>
      </w:r>
      <w:r>
        <w:rPr>
          <w:rFonts w:ascii="Calibri"/>
          <w:sz w:val="24"/>
        </w:rPr>
        <w:t>or</w:t>
      </w:r>
      <w:r>
        <w:rPr>
          <w:rFonts w:ascii="Calibri"/>
          <w:spacing w:val="-5"/>
          <w:sz w:val="24"/>
        </w:rPr>
        <w:t xml:space="preserve"> </w:t>
      </w:r>
      <w:r>
        <w:rPr>
          <w:rFonts w:ascii="Calibri"/>
          <w:sz w:val="24"/>
        </w:rPr>
        <w:t>reference</w:t>
      </w:r>
      <w:r>
        <w:rPr>
          <w:rFonts w:ascii="Calibri"/>
          <w:spacing w:val="-4"/>
          <w:sz w:val="24"/>
        </w:rPr>
        <w:t xml:space="preserve"> </w:t>
      </w:r>
      <w:r>
        <w:rPr>
          <w:rFonts w:ascii="Calibri"/>
          <w:sz w:val="24"/>
        </w:rPr>
        <w:t>books,</w:t>
      </w:r>
      <w:r>
        <w:rPr>
          <w:rFonts w:ascii="Calibri"/>
          <w:spacing w:val="-3"/>
          <w:sz w:val="24"/>
        </w:rPr>
        <w:t xml:space="preserve"> </w:t>
      </w:r>
      <w:r>
        <w:rPr>
          <w:rFonts w:ascii="Calibri"/>
          <w:sz w:val="24"/>
        </w:rPr>
        <w:t>video</w:t>
      </w:r>
      <w:r>
        <w:rPr>
          <w:rFonts w:ascii="Calibri"/>
          <w:spacing w:val="-2"/>
          <w:sz w:val="24"/>
        </w:rPr>
        <w:t xml:space="preserve"> </w:t>
      </w:r>
      <w:r>
        <w:rPr>
          <w:rFonts w:ascii="Calibri"/>
          <w:sz w:val="24"/>
        </w:rPr>
        <w:t>or</w:t>
      </w:r>
      <w:r>
        <w:rPr>
          <w:rFonts w:ascii="Calibri"/>
          <w:spacing w:val="-5"/>
          <w:sz w:val="24"/>
        </w:rPr>
        <w:t xml:space="preserve"> </w:t>
      </w:r>
      <w:r>
        <w:rPr>
          <w:rFonts w:ascii="Calibri"/>
          <w:sz w:val="24"/>
        </w:rPr>
        <w:t>software to be used as instructional</w:t>
      </w:r>
      <w:r>
        <w:rPr>
          <w:rFonts w:ascii="Calibri"/>
          <w:spacing w:val="-17"/>
          <w:sz w:val="24"/>
        </w:rPr>
        <w:t xml:space="preserve"> </w:t>
      </w:r>
      <w:r>
        <w:rPr>
          <w:rFonts w:ascii="Calibri"/>
          <w:sz w:val="24"/>
        </w:rPr>
        <w:t>materials</w:t>
      </w:r>
    </w:p>
    <w:p w14:paraId="6DF60112" w14:textId="77777777" w:rsidR="00455188" w:rsidRDefault="00455188">
      <w:pPr>
        <w:spacing w:before="12"/>
        <w:rPr>
          <w:rFonts w:ascii="Calibri" w:eastAsia="Calibri" w:hAnsi="Calibri" w:cs="Calibri"/>
          <w:sz w:val="23"/>
          <w:szCs w:val="23"/>
        </w:rPr>
      </w:pPr>
    </w:p>
    <w:p w14:paraId="11940987" w14:textId="77777777" w:rsidR="00455188" w:rsidRDefault="00D649C7">
      <w:pPr>
        <w:pStyle w:val="Heading1"/>
        <w:numPr>
          <w:ilvl w:val="0"/>
          <w:numId w:val="1"/>
        </w:numPr>
        <w:tabs>
          <w:tab w:val="left" w:pos="358"/>
        </w:tabs>
        <w:ind w:left="357" w:hanging="257"/>
        <w:rPr>
          <w:b w:val="0"/>
          <w:bCs w:val="0"/>
        </w:rPr>
      </w:pPr>
      <w:r>
        <w:t>Other Sponsored</w:t>
      </w:r>
      <w:r>
        <w:rPr>
          <w:spacing w:val="-10"/>
        </w:rPr>
        <w:t xml:space="preserve"> </w:t>
      </w:r>
      <w:r>
        <w:t>Activities</w:t>
      </w:r>
    </w:p>
    <w:p w14:paraId="773E286D" w14:textId="6BC99E22" w:rsidR="00455188" w:rsidRDefault="00D649C7">
      <w:pPr>
        <w:pStyle w:val="BodyText"/>
        <w:ind w:right="86"/>
      </w:pPr>
      <w:r>
        <w:rPr>
          <w:rFonts w:cs="Calibri"/>
        </w:rPr>
        <w:t>Other Sponsored Activities means programs and projects financed by Federal and</w:t>
      </w:r>
      <w:r>
        <w:rPr>
          <w:rFonts w:cs="Calibri"/>
          <w:spacing w:val="-35"/>
        </w:rPr>
        <w:t xml:space="preserve"> </w:t>
      </w:r>
      <w:r>
        <w:rPr>
          <w:rFonts w:cs="Calibri"/>
        </w:rPr>
        <w:t xml:space="preserve">non‐Federal </w:t>
      </w:r>
      <w:r w:rsidR="00D43D53">
        <w:t>sponsors</w:t>
      </w:r>
      <w:r>
        <w:t xml:space="preserve"> which involve the performance of work other than Instruction and Organized</w:t>
      </w:r>
      <w:r>
        <w:rPr>
          <w:spacing w:val="-5"/>
        </w:rPr>
        <w:t xml:space="preserve"> </w:t>
      </w:r>
      <w:r>
        <w:t>Research.</w:t>
      </w:r>
    </w:p>
    <w:p w14:paraId="26A1DA21" w14:textId="77777777" w:rsidR="00455188" w:rsidRDefault="00455188">
      <w:pPr>
        <w:spacing w:before="2"/>
        <w:rPr>
          <w:rFonts w:ascii="Calibri" w:eastAsia="Calibri" w:hAnsi="Calibri" w:cs="Calibri"/>
          <w:sz w:val="24"/>
          <w:szCs w:val="24"/>
        </w:rPr>
      </w:pPr>
    </w:p>
    <w:p w14:paraId="2A39F9A2" w14:textId="77777777" w:rsidR="00455188" w:rsidRDefault="00D649C7">
      <w:pPr>
        <w:pStyle w:val="BodyText"/>
        <w:ind w:right="86"/>
      </w:pPr>
      <w:r>
        <w:t>Examples of Other Sponsored Activities</w:t>
      </w:r>
      <w:r>
        <w:rPr>
          <w:spacing w:val="-19"/>
        </w:rPr>
        <w:t xml:space="preserve"> </w:t>
      </w:r>
      <w:r>
        <w:t>include:</w:t>
      </w:r>
    </w:p>
    <w:p w14:paraId="0D2A86EF" w14:textId="77777777" w:rsidR="00455188" w:rsidRDefault="00D649C7">
      <w:pPr>
        <w:pStyle w:val="ListParagraph"/>
        <w:numPr>
          <w:ilvl w:val="1"/>
          <w:numId w:val="1"/>
        </w:numPr>
        <w:tabs>
          <w:tab w:val="left" w:pos="1181"/>
        </w:tabs>
        <w:rPr>
          <w:rFonts w:ascii="Calibri" w:eastAsia="Calibri" w:hAnsi="Calibri" w:cs="Calibri"/>
          <w:sz w:val="24"/>
          <w:szCs w:val="24"/>
        </w:rPr>
      </w:pPr>
      <w:r>
        <w:rPr>
          <w:rFonts w:ascii="Calibri"/>
          <w:sz w:val="24"/>
        </w:rPr>
        <w:t>Travel</w:t>
      </w:r>
      <w:r>
        <w:rPr>
          <w:rFonts w:ascii="Calibri"/>
          <w:spacing w:val="-4"/>
          <w:sz w:val="24"/>
        </w:rPr>
        <w:t xml:space="preserve"> </w:t>
      </w:r>
      <w:r>
        <w:rPr>
          <w:rFonts w:ascii="Calibri"/>
          <w:sz w:val="24"/>
        </w:rPr>
        <w:t>grants</w:t>
      </w:r>
    </w:p>
    <w:p w14:paraId="33873273" w14:textId="77777777" w:rsidR="00455188" w:rsidRDefault="00D649C7">
      <w:pPr>
        <w:pStyle w:val="ListParagraph"/>
        <w:numPr>
          <w:ilvl w:val="1"/>
          <w:numId w:val="1"/>
        </w:numPr>
        <w:tabs>
          <w:tab w:val="left" w:pos="1181"/>
        </w:tabs>
        <w:rPr>
          <w:rFonts w:ascii="Calibri" w:eastAsia="Calibri" w:hAnsi="Calibri" w:cs="Calibri"/>
          <w:sz w:val="24"/>
          <w:szCs w:val="24"/>
        </w:rPr>
      </w:pPr>
      <w:r>
        <w:rPr>
          <w:rFonts w:ascii="Calibri"/>
          <w:sz w:val="24"/>
        </w:rPr>
        <w:t>Support for conferences, seminars or</w:t>
      </w:r>
      <w:r>
        <w:rPr>
          <w:rFonts w:ascii="Calibri"/>
          <w:spacing w:val="-23"/>
          <w:sz w:val="24"/>
        </w:rPr>
        <w:t xml:space="preserve"> </w:t>
      </w:r>
      <w:r>
        <w:rPr>
          <w:rFonts w:ascii="Calibri"/>
          <w:sz w:val="24"/>
        </w:rPr>
        <w:t>workshops</w:t>
      </w:r>
    </w:p>
    <w:p w14:paraId="64A74562" w14:textId="77777777" w:rsidR="00455188" w:rsidRDefault="00D649C7">
      <w:pPr>
        <w:pStyle w:val="ListParagraph"/>
        <w:numPr>
          <w:ilvl w:val="1"/>
          <w:numId w:val="1"/>
        </w:numPr>
        <w:tabs>
          <w:tab w:val="left" w:pos="1181"/>
        </w:tabs>
        <w:rPr>
          <w:rFonts w:ascii="Calibri" w:eastAsia="Calibri" w:hAnsi="Calibri" w:cs="Calibri"/>
          <w:sz w:val="24"/>
          <w:szCs w:val="24"/>
        </w:rPr>
      </w:pPr>
      <w:r>
        <w:rPr>
          <w:rFonts w:ascii="Calibri" w:eastAsia="Calibri" w:hAnsi="Calibri" w:cs="Calibri"/>
          <w:sz w:val="24"/>
          <w:szCs w:val="24"/>
        </w:rPr>
        <w:t>Support for University public events such as “lively</w:t>
      </w:r>
      <w:r>
        <w:rPr>
          <w:rFonts w:ascii="Calibri" w:eastAsia="Calibri" w:hAnsi="Calibri" w:cs="Calibri"/>
          <w:spacing w:val="-18"/>
          <w:sz w:val="24"/>
          <w:szCs w:val="24"/>
        </w:rPr>
        <w:t xml:space="preserve"> </w:t>
      </w:r>
      <w:r>
        <w:rPr>
          <w:rFonts w:ascii="Calibri" w:eastAsia="Calibri" w:hAnsi="Calibri" w:cs="Calibri"/>
          <w:sz w:val="24"/>
          <w:szCs w:val="24"/>
        </w:rPr>
        <w:t>arts”</w:t>
      </w:r>
    </w:p>
    <w:p w14:paraId="001DB81E" w14:textId="77777777" w:rsidR="00455188" w:rsidRDefault="00D649C7">
      <w:pPr>
        <w:pStyle w:val="ListParagraph"/>
        <w:numPr>
          <w:ilvl w:val="1"/>
          <w:numId w:val="1"/>
        </w:numPr>
        <w:tabs>
          <w:tab w:val="left" w:pos="1181"/>
        </w:tabs>
        <w:rPr>
          <w:rFonts w:ascii="Calibri" w:eastAsia="Calibri" w:hAnsi="Calibri" w:cs="Calibri"/>
          <w:sz w:val="24"/>
          <w:szCs w:val="24"/>
        </w:rPr>
      </w:pPr>
      <w:r>
        <w:rPr>
          <w:rFonts w:ascii="Calibri"/>
          <w:sz w:val="24"/>
        </w:rPr>
        <w:t>Support for University extension</w:t>
      </w:r>
      <w:r>
        <w:rPr>
          <w:rFonts w:ascii="Calibri"/>
          <w:spacing w:val="-16"/>
          <w:sz w:val="24"/>
        </w:rPr>
        <w:t xml:space="preserve"> </w:t>
      </w:r>
      <w:r>
        <w:rPr>
          <w:rFonts w:ascii="Calibri"/>
          <w:sz w:val="24"/>
        </w:rPr>
        <w:t>activities</w:t>
      </w:r>
    </w:p>
    <w:p w14:paraId="0F2CFF83" w14:textId="77777777" w:rsidR="00455188" w:rsidRDefault="00D649C7">
      <w:pPr>
        <w:pStyle w:val="ListParagraph"/>
        <w:numPr>
          <w:ilvl w:val="1"/>
          <w:numId w:val="1"/>
        </w:numPr>
        <w:tabs>
          <w:tab w:val="left" w:pos="1181"/>
        </w:tabs>
        <w:ind w:right="174"/>
        <w:rPr>
          <w:rFonts w:ascii="Calibri" w:eastAsia="Calibri" w:hAnsi="Calibri" w:cs="Calibri"/>
          <w:sz w:val="24"/>
          <w:szCs w:val="24"/>
        </w:rPr>
      </w:pPr>
      <w:r>
        <w:rPr>
          <w:rFonts w:ascii="Calibri"/>
          <w:sz w:val="24"/>
        </w:rPr>
        <w:t>Support for student participation in community service projects which do not result in academic</w:t>
      </w:r>
      <w:r>
        <w:rPr>
          <w:rFonts w:ascii="Calibri"/>
          <w:spacing w:val="-3"/>
          <w:sz w:val="24"/>
        </w:rPr>
        <w:t xml:space="preserve"> </w:t>
      </w:r>
      <w:r>
        <w:rPr>
          <w:rFonts w:ascii="Calibri"/>
          <w:sz w:val="24"/>
        </w:rPr>
        <w:t>credit</w:t>
      </w:r>
    </w:p>
    <w:p w14:paraId="4C53094D" w14:textId="77777777" w:rsidR="00455188" w:rsidRDefault="00D649C7">
      <w:pPr>
        <w:pStyle w:val="ListParagraph"/>
        <w:numPr>
          <w:ilvl w:val="1"/>
          <w:numId w:val="1"/>
        </w:numPr>
        <w:tabs>
          <w:tab w:val="left" w:pos="1181"/>
        </w:tabs>
        <w:ind w:right="244"/>
        <w:rPr>
          <w:rFonts w:ascii="Calibri" w:eastAsia="Calibri" w:hAnsi="Calibri" w:cs="Calibri"/>
          <w:sz w:val="24"/>
          <w:szCs w:val="24"/>
        </w:rPr>
      </w:pPr>
      <w:r>
        <w:rPr>
          <w:rFonts w:ascii="Calibri"/>
          <w:sz w:val="24"/>
        </w:rPr>
        <w:t>Support for projects pertaining to library collections, acquisitions, bibliographies</w:t>
      </w:r>
      <w:r>
        <w:rPr>
          <w:rFonts w:ascii="Calibri"/>
          <w:spacing w:val="-35"/>
          <w:sz w:val="24"/>
        </w:rPr>
        <w:t xml:space="preserve"> </w:t>
      </w:r>
      <w:r>
        <w:rPr>
          <w:rFonts w:ascii="Calibri"/>
          <w:sz w:val="24"/>
        </w:rPr>
        <w:t>or cataloging</w:t>
      </w:r>
    </w:p>
    <w:p w14:paraId="2898A679" w14:textId="77777777" w:rsidR="00455188" w:rsidRDefault="00D649C7">
      <w:pPr>
        <w:pStyle w:val="ListParagraph"/>
        <w:numPr>
          <w:ilvl w:val="1"/>
          <w:numId w:val="1"/>
        </w:numPr>
        <w:tabs>
          <w:tab w:val="left" w:pos="1181"/>
        </w:tabs>
        <w:ind w:right="442"/>
        <w:rPr>
          <w:rFonts w:ascii="Calibri" w:eastAsia="Calibri" w:hAnsi="Calibri" w:cs="Calibri"/>
          <w:sz w:val="24"/>
          <w:szCs w:val="24"/>
        </w:rPr>
      </w:pPr>
      <w:r>
        <w:rPr>
          <w:rFonts w:ascii="Calibri"/>
          <w:sz w:val="24"/>
        </w:rPr>
        <w:t>Programs to enhance institutional resources, including computer</w:t>
      </w:r>
      <w:r>
        <w:rPr>
          <w:rFonts w:ascii="Calibri"/>
          <w:spacing w:val="-35"/>
          <w:sz w:val="24"/>
        </w:rPr>
        <w:t xml:space="preserve"> </w:t>
      </w:r>
      <w:r>
        <w:rPr>
          <w:rFonts w:ascii="Calibri"/>
          <w:sz w:val="24"/>
        </w:rPr>
        <w:t>enhancements, etc.</w:t>
      </w:r>
    </w:p>
    <w:p w14:paraId="0337314C" w14:textId="77777777" w:rsidR="00455188" w:rsidRDefault="00D649C7">
      <w:pPr>
        <w:pStyle w:val="ListParagraph"/>
        <w:numPr>
          <w:ilvl w:val="1"/>
          <w:numId w:val="1"/>
        </w:numPr>
        <w:tabs>
          <w:tab w:val="left" w:pos="1181"/>
        </w:tabs>
        <w:rPr>
          <w:rFonts w:ascii="Calibri" w:eastAsia="Calibri" w:hAnsi="Calibri" w:cs="Calibri"/>
          <w:sz w:val="24"/>
          <w:szCs w:val="24"/>
        </w:rPr>
      </w:pPr>
      <w:r>
        <w:rPr>
          <w:rFonts w:ascii="Calibri"/>
          <w:sz w:val="24"/>
        </w:rPr>
        <w:t>Health services</w:t>
      </w:r>
      <w:r>
        <w:rPr>
          <w:rFonts w:ascii="Calibri"/>
          <w:spacing w:val="-9"/>
          <w:sz w:val="24"/>
        </w:rPr>
        <w:t xml:space="preserve"> </w:t>
      </w:r>
      <w:r>
        <w:rPr>
          <w:rFonts w:ascii="Calibri"/>
          <w:sz w:val="24"/>
        </w:rPr>
        <w:t>projects</w:t>
      </w:r>
    </w:p>
    <w:p w14:paraId="776AF311" w14:textId="77777777" w:rsidR="00455188" w:rsidRDefault="00455188">
      <w:pPr>
        <w:rPr>
          <w:rFonts w:ascii="Calibri" w:eastAsia="Calibri" w:hAnsi="Calibri" w:cs="Calibri"/>
          <w:sz w:val="24"/>
          <w:szCs w:val="24"/>
        </w:rPr>
      </w:pPr>
    </w:p>
    <w:p w14:paraId="5CFBD7CD" w14:textId="77777777" w:rsidR="00455188" w:rsidRDefault="00D649C7">
      <w:pPr>
        <w:pStyle w:val="Heading1"/>
        <w:numPr>
          <w:ilvl w:val="0"/>
          <w:numId w:val="1"/>
        </w:numPr>
        <w:tabs>
          <w:tab w:val="left" w:pos="381"/>
        </w:tabs>
        <w:ind w:left="380" w:hanging="280"/>
        <w:rPr>
          <w:b w:val="0"/>
          <w:bCs w:val="0"/>
        </w:rPr>
      </w:pPr>
      <w:r>
        <w:t>Intergovernmental Personnel Act Agreements</w:t>
      </w:r>
      <w:r>
        <w:rPr>
          <w:spacing w:val="-19"/>
        </w:rPr>
        <w:t xml:space="preserve"> </w:t>
      </w:r>
      <w:r>
        <w:t>(IPAs)</w:t>
      </w:r>
    </w:p>
    <w:p w14:paraId="4492B15C" w14:textId="77777777" w:rsidR="00455188" w:rsidRDefault="00D649C7">
      <w:pPr>
        <w:pStyle w:val="BodyText"/>
        <w:spacing w:before="2"/>
        <w:ind w:right="86"/>
      </w:pPr>
      <w:r>
        <w:t>IPAs allow for the temporary assignment of personnel between the Federal Government</w:t>
      </w:r>
      <w:r>
        <w:rPr>
          <w:spacing w:val="-35"/>
        </w:rPr>
        <w:t xml:space="preserve"> </w:t>
      </w:r>
      <w:r>
        <w:t>and UMD to facilitate cooperation between both</w:t>
      </w:r>
      <w:r>
        <w:rPr>
          <w:spacing w:val="-26"/>
        </w:rPr>
        <w:t xml:space="preserve"> </w:t>
      </w:r>
      <w:r>
        <w:t>parties.</w:t>
      </w:r>
    </w:p>
    <w:p w14:paraId="4AAAE0C0" w14:textId="77777777" w:rsidR="007643DF" w:rsidRDefault="007643DF">
      <w:pPr>
        <w:pStyle w:val="BodyText"/>
        <w:spacing w:before="2"/>
        <w:ind w:right="86"/>
      </w:pPr>
    </w:p>
    <w:p w14:paraId="187D06C9" w14:textId="77777777" w:rsidR="007643DF" w:rsidRPr="00E942F0" w:rsidRDefault="007643DF" w:rsidP="00E942F0">
      <w:pPr>
        <w:pStyle w:val="BodyText"/>
        <w:numPr>
          <w:ilvl w:val="0"/>
          <w:numId w:val="1"/>
        </w:numPr>
        <w:spacing w:before="2"/>
        <w:ind w:right="86"/>
        <w:rPr>
          <w:b/>
        </w:rPr>
      </w:pPr>
      <w:r w:rsidRPr="00E942F0">
        <w:rPr>
          <w:b/>
        </w:rPr>
        <w:t>Department of Defense agency (DoD) is sponsor</w:t>
      </w:r>
    </w:p>
    <w:p w14:paraId="0F7A091E" w14:textId="4EA8F693" w:rsidR="007643DF" w:rsidRDefault="007643DF" w:rsidP="00E942F0">
      <w:pPr>
        <w:pStyle w:val="BodyText"/>
        <w:spacing w:before="2"/>
        <w:ind w:left="375" w:right="86"/>
      </w:pPr>
      <w:r>
        <w:t xml:space="preserve">The </w:t>
      </w:r>
      <w:proofErr w:type="gramStart"/>
      <w:r>
        <w:t>DoD</w:t>
      </w:r>
      <w:proofErr w:type="gramEnd"/>
      <w:r>
        <w:t xml:space="preserve"> F&amp;A rates are specifically for Organized Research (not Instruction and Other Sponsored Activities) on </w:t>
      </w:r>
      <w:r w:rsidRPr="00E942F0">
        <w:rPr>
          <w:i/>
        </w:rPr>
        <w:t>Contracts</w:t>
      </w:r>
      <w:r w:rsidR="00590106">
        <w:rPr>
          <w:i/>
        </w:rPr>
        <w:t>,</w:t>
      </w:r>
      <w:r>
        <w:t xml:space="preserve"> </w:t>
      </w:r>
      <w:r w:rsidR="00590106" w:rsidRPr="00695C56">
        <w:rPr>
          <w:i/>
        </w:rPr>
        <w:t>Other Transaction Agreements or</w:t>
      </w:r>
      <w:r w:rsidR="00590106">
        <w:t xml:space="preserve"> </w:t>
      </w:r>
      <w:r w:rsidRPr="00E942F0">
        <w:rPr>
          <w:i/>
        </w:rPr>
        <w:t>Subcontracts</w:t>
      </w:r>
      <w:r>
        <w:t xml:space="preserve"> (DoD flow through </w:t>
      </w:r>
      <w:r w:rsidR="004D6D6C">
        <w:t>funds through another entity/</w:t>
      </w:r>
      <w:r>
        <w:t>sponsor like industry or universities).</w:t>
      </w:r>
    </w:p>
    <w:p w14:paraId="57BC6AEF" w14:textId="77777777" w:rsidR="00455188" w:rsidRDefault="00455188">
      <w:pPr>
        <w:spacing w:before="12"/>
        <w:rPr>
          <w:rFonts w:ascii="Calibri" w:eastAsia="Calibri" w:hAnsi="Calibri" w:cs="Calibri"/>
          <w:sz w:val="23"/>
          <w:szCs w:val="23"/>
        </w:rPr>
      </w:pPr>
    </w:p>
    <w:p w14:paraId="725F4503" w14:textId="77777777" w:rsidR="00455188" w:rsidRDefault="00D649C7">
      <w:pPr>
        <w:pStyle w:val="Heading1"/>
        <w:ind w:right="86"/>
        <w:rPr>
          <w:b w:val="0"/>
          <w:bCs w:val="0"/>
        </w:rPr>
      </w:pPr>
      <w:r>
        <w:t>Step 3: On or Off Campus Rate</w:t>
      </w:r>
      <w:r>
        <w:rPr>
          <w:spacing w:val="-14"/>
        </w:rPr>
        <w:t xml:space="preserve"> </w:t>
      </w:r>
      <w:r>
        <w:t>Determination</w:t>
      </w:r>
    </w:p>
    <w:p w14:paraId="4BE77D66" w14:textId="77777777" w:rsidR="00455188" w:rsidRDefault="00D649C7">
      <w:pPr>
        <w:pStyle w:val="BodyText"/>
        <w:ind w:right="86"/>
      </w:pPr>
      <w:r>
        <w:t>Next, determine if your project qualifies for use of the on campus, off campus or a combination of both on and off campus</w:t>
      </w:r>
      <w:r>
        <w:rPr>
          <w:spacing w:val="-11"/>
        </w:rPr>
        <w:t xml:space="preserve"> </w:t>
      </w:r>
      <w:r>
        <w:t>rates.</w:t>
      </w:r>
    </w:p>
    <w:p w14:paraId="0AC28EE5" w14:textId="77777777" w:rsidR="00455188" w:rsidRDefault="00455188">
      <w:pPr>
        <w:sectPr w:rsidR="00455188">
          <w:pgSz w:w="12240" w:h="15840"/>
          <w:pgMar w:top="1500" w:right="1400" w:bottom="280" w:left="1340" w:header="720" w:footer="720" w:gutter="0"/>
          <w:cols w:space="720"/>
        </w:sectPr>
      </w:pPr>
    </w:p>
    <w:p w14:paraId="64F09CB0" w14:textId="77777777" w:rsidR="00455188" w:rsidRDefault="00D649C7">
      <w:pPr>
        <w:pStyle w:val="BodyText"/>
        <w:spacing w:before="39"/>
        <w:ind w:right="562"/>
      </w:pPr>
      <w:r>
        <w:lastRenderedPageBreak/>
        <w:t>An on-campus project is one in which the PI and the project activities all occur on the UMD campus or in campus-owned</w:t>
      </w:r>
      <w:r>
        <w:rPr>
          <w:spacing w:val="-9"/>
        </w:rPr>
        <w:t xml:space="preserve"> </w:t>
      </w:r>
      <w:r>
        <w:t>facilities.</w:t>
      </w:r>
    </w:p>
    <w:p w14:paraId="7DB8004C" w14:textId="77777777" w:rsidR="00455188" w:rsidRDefault="00455188">
      <w:pPr>
        <w:spacing w:before="12"/>
        <w:rPr>
          <w:rFonts w:ascii="Calibri" w:eastAsia="Calibri" w:hAnsi="Calibri" w:cs="Calibri"/>
          <w:sz w:val="23"/>
          <w:szCs w:val="23"/>
        </w:rPr>
      </w:pPr>
    </w:p>
    <w:p w14:paraId="16F06730" w14:textId="77777777" w:rsidR="00455188" w:rsidRDefault="00D649C7">
      <w:pPr>
        <w:pStyle w:val="BodyText"/>
        <w:ind w:right="107"/>
      </w:pPr>
      <w:r>
        <w:t>An off-campus project is one in which the PI or a significant and identifiable portion of the proj</w:t>
      </w:r>
      <w:r>
        <w:rPr>
          <w:rFonts w:cs="Calibri"/>
        </w:rPr>
        <w:t xml:space="preserve">ect will be away from the PI’s </w:t>
      </w:r>
      <w:r>
        <w:t>campus facilities (i.e. office and laboratory) for the entirety of the project and at least three consecutive months. The project personnel will be performing work in accordance with the statement of work of the sponsored project while at the off campus</w:t>
      </w:r>
      <w:r>
        <w:rPr>
          <w:spacing w:val="-2"/>
        </w:rPr>
        <w:t xml:space="preserve"> </w:t>
      </w:r>
      <w:r>
        <w:t>location.</w:t>
      </w:r>
    </w:p>
    <w:p w14:paraId="1FB34E6B" w14:textId="77777777" w:rsidR="00455188" w:rsidRDefault="00455188">
      <w:pPr>
        <w:spacing w:before="2"/>
        <w:rPr>
          <w:rFonts w:ascii="Calibri" w:eastAsia="Calibri" w:hAnsi="Calibri" w:cs="Calibri"/>
          <w:sz w:val="24"/>
          <w:szCs w:val="24"/>
        </w:rPr>
      </w:pPr>
    </w:p>
    <w:p w14:paraId="3CD41844" w14:textId="77777777" w:rsidR="00455188" w:rsidRDefault="00D649C7">
      <w:pPr>
        <w:pStyle w:val="BodyText"/>
        <w:ind w:right="107"/>
      </w:pPr>
      <w:r>
        <w:t xml:space="preserve">An on/off campus project is one in which activities are occurring both on and off campus. To have an on and off campus budget, the off-campus activities must exceed 25% of the direct costs of the budget </w:t>
      </w:r>
      <w:r>
        <w:rPr>
          <w:rFonts w:cs="Calibri"/>
          <w:b/>
          <w:bCs/>
          <w:u w:val="single" w:color="000000"/>
        </w:rPr>
        <w:t xml:space="preserve">AND </w:t>
      </w:r>
      <w:r>
        <w:t xml:space="preserve">the PI or a significant and identifiable portion of the project will be </w:t>
      </w:r>
      <w:r>
        <w:rPr>
          <w:rFonts w:cs="Calibri"/>
        </w:rPr>
        <w:t xml:space="preserve">away from the PI’s </w:t>
      </w:r>
      <w:r>
        <w:t xml:space="preserve">campus facilities (i.e. office and laboratory) for a minimum of three </w:t>
      </w:r>
      <w:r>
        <w:rPr>
          <w:rFonts w:cs="Calibri"/>
          <w:b/>
          <w:bCs/>
        </w:rPr>
        <w:t xml:space="preserve">consecutive </w:t>
      </w:r>
      <w:r>
        <w:t>months. If a project has both on and off campus components, the budget needs to be apportioned</w:t>
      </w:r>
      <w:r>
        <w:rPr>
          <w:spacing w:val="-14"/>
        </w:rPr>
        <w:t xml:space="preserve"> </w:t>
      </w:r>
      <w:r>
        <w:t>appropriately.</w:t>
      </w:r>
    </w:p>
    <w:p w14:paraId="2FB3C7CA" w14:textId="77777777" w:rsidR="00455188" w:rsidRDefault="00455188">
      <w:pPr>
        <w:spacing w:before="12"/>
        <w:rPr>
          <w:rFonts w:ascii="Calibri" w:eastAsia="Calibri" w:hAnsi="Calibri" w:cs="Calibri"/>
          <w:sz w:val="23"/>
          <w:szCs w:val="23"/>
        </w:rPr>
      </w:pPr>
    </w:p>
    <w:p w14:paraId="1F04571E" w14:textId="77777777" w:rsidR="00455188" w:rsidRDefault="00D649C7">
      <w:pPr>
        <w:pStyle w:val="BodyText"/>
        <w:ind w:right="216"/>
      </w:pPr>
      <w:r>
        <w:t>Currently,</w:t>
      </w:r>
      <w:r>
        <w:rPr>
          <w:spacing w:val="-3"/>
        </w:rPr>
        <w:t xml:space="preserve"> </w:t>
      </w:r>
      <w:r>
        <w:t>there</w:t>
      </w:r>
      <w:r>
        <w:rPr>
          <w:spacing w:val="-4"/>
        </w:rPr>
        <w:t xml:space="preserve"> </w:t>
      </w:r>
      <w:r>
        <w:t>are</w:t>
      </w:r>
      <w:r>
        <w:rPr>
          <w:spacing w:val="-4"/>
        </w:rPr>
        <w:t xml:space="preserve"> </w:t>
      </w:r>
      <w:r>
        <w:t>two</w:t>
      </w:r>
      <w:r>
        <w:rPr>
          <w:spacing w:val="-5"/>
        </w:rPr>
        <w:t xml:space="preserve"> </w:t>
      </w:r>
      <w:r>
        <w:t>types of</w:t>
      </w:r>
      <w:r>
        <w:rPr>
          <w:spacing w:val="-4"/>
        </w:rPr>
        <w:t xml:space="preserve"> </w:t>
      </w:r>
      <w:r>
        <w:t>off</w:t>
      </w:r>
      <w:r>
        <w:rPr>
          <w:spacing w:val="-2"/>
        </w:rPr>
        <w:t xml:space="preserve"> </w:t>
      </w:r>
      <w:r>
        <w:t>campus</w:t>
      </w:r>
      <w:r>
        <w:rPr>
          <w:spacing w:val="-3"/>
        </w:rPr>
        <w:t xml:space="preserve"> </w:t>
      </w:r>
      <w:r>
        <w:t>rates</w:t>
      </w:r>
      <w:r>
        <w:rPr>
          <w:spacing w:val="-3"/>
        </w:rPr>
        <w:t xml:space="preserve"> </w:t>
      </w:r>
      <w:r>
        <w:t>applicable</w:t>
      </w:r>
      <w:r>
        <w:rPr>
          <w:spacing w:val="-4"/>
        </w:rPr>
        <w:t xml:space="preserve"> </w:t>
      </w:r>
      <w:r>
        <w:t>to</w:t>
      </w:r>
      <w:r>
        <w:rPr>
          <w:spacing w:val="-5"/>
        </w:rPr>
        <w:t xml:space="preserve"> </w:t>
      </w:r>
      <w:r>
        <w:t>projects</w:t>
      </w:r>
      <w:r>
        <w:rPr>
          <w:spacing w:val="-3"/>
        </w:rPr>
        <w:t xml:space="preserve"> </w:t>
      </w:r>
      <w:r>
        <w:t>conducted</w:t>
      </w:r>
      <w:r>
        <w:rPr>
          <w:spacing w:val="-2"/>
        </w:rPr>
        <w:t xml:space="preserve"> </w:t>
      </w:r>
      <w:r>
        <w:t>in</w:t>
      </w:r>
      <w:r>
        <w:rPr>
          <w:spacing w:val="-4"/>
        </w:rPr>
        <w:t xml:space="preserve"> </w:t>
      </w:r>
      <w:r>
        <w:t xml:space="preserve">facilities not owned by UMD. An off campus </w:t>
      </w:r>
      <w:r>
        <w:rPr>
          <w:rFonts w:cs="Calibri"/>
        </w:rPr>
        <w:t>“remote” rate at 26% Modified Total Direct Cos</w:t>
      </w:r>
      <w:r>
        <w:t xml:space="preserve">t (MTDC) will be for activities performed outside the commuting area of College Park. An off campus </w:t>
      </w:r>
      <w:r>
        <w:rPr>
          <w:rFonts w:cs="Calibri"/>
        </w:rPr>
        <w:t xml:space="preserve">“adjacent” rate of 27.5% </w:t>
      </w:r>
      <w:r>
        <w:t>MTDC will be for activities performed within the commuting area (50 miles) of College</w:t>
      </w:r>
      <w:r>
        <w:rPr>
          <w:spacing w:val="-8"/>
        </w:rPr>
        <w:t xml:space="preserve"> </w:t>
      </w:r>
      <w:r>
        <w:t>Park.</w:t>
      </w:r>
    </w:p>
    <w:p w14:paraId="048EDF5C" w14:textId="77777777" w:rsidR="00455188" w:rsidRDefault="00455188">
      <w:pPr>
        <w:spacing w:before="2"/>
        <w:rPr>
          <w:rFonts w:ascii="Calibri" w:eastAsia="Calibri" w:hAnsi="Calibri" w:cs="Calibri"/>
          <w:sz w:val="24"/>
          <w:szCs w:val="24"/>
        </w:rPr>
      </w:pPr>
    </w:p>
    <w:p w14:paraId="781B8E81" w14:textId="77777777" w:rsidR="00455188" w:rsidRDefault="00D649C7">
      <w:pPr>
        <w:pStyle w:val="BodyText"/>
        <w:ind w:right="216"/>
      </w:pPr>
      <w:r>
        <w:t xml:space="preserve">Off campus rates can only be used relative to the effort of a University employee. The </w:t>
      </w:r>
      <w:r>
        <w:rPr>
          <w:rFonts w:cs="Calibri"/>
        </w:rPr>
        <w:t>performance of non‐university personnel must be ha</w:t>
      </w:r>
      <w:r>
        <w:t xml:space="preserve">ndled via a </w:t>
      </w:r>
      <w:proofErr w:type="spellStart"/>
      <w:r>
        <w:t>subaward</w:t>
      </w:r>
      <w:proofErr w:type="spellEnd"/>
      <w:r>
        <w:t xml:space="preserve"> to another institution or a consulting agreement. </w:t>
      </w:r>
      <w:proofErr w:type="spellStart"/>
      <w:r>
        <w:rPr>
          <w:rFonts w:cs="Calibri"/>
          <w:b/>
          <w:bCs/>
        </w:rPr>
        <w:t>Subawards</w:t>
      </w:r>
      <w:proofErr w:type="spellEnd"/>
      <w:r>
        <w:rPr>
          <w:rFonts w:cs="Calibri"/>
          <w:b/>
          <w:bCs/>
        </w:rPr>
        <w:t xml:space="preserve"> </w:t>
      </w:r>
      <w:r>
        <w:t>must include full on campus F&amp;A on the</w:t>
      </w:r>
      <w:r>
        <w:rPr>
          <w:spacing w:val="-35"/>
        </w:rPr>
        <w:t xml:space="preserve"> </w:t>
      </w:r>
      <w:r>
        <w:t>first</w:t>
      </w:r>
    </w:p>
    <w:p w14:paraId="5436F302" w14:textId="77777777" w:rsidR="00455188" w:rsidRDefault="00D649C7">
      <w:pPr>
        <w:pStyle w:val="BodyText"/>
        <w:ind w:right="384"/>
      </w:pPr>
      <w:r>
        <w:t xml:space="preserve">$25,000 of the </w:t>
      </w:r>
      <w:proofErr w:type="spellStart"/>
      <w:r>
        <w:t>subaward</w:t>
      </w:r>
      <w:proofErr w:type="spellEnd"/>
      <w:r>
        <w:t xml:space="preserve">, unless an entire project is being conducted off campus. </w:t>
      </w:r>
      <w:r>
        <w:rPr>
          <w:b/>
        </w:rPr>
        <w:t xml:space="preserve">Consulting </w:t>
      </w:r>
      <w:r w:rsidR="00D43D53">
        <w:rPr>
          <w:b/>
        </w:rPr>
        <w:t xml:space="preserve">and Contracting </w:t>
      </w:r>
      <w:r>
        <w:t xml:space="preserve">agreements and other procurement actions are charged the full on campus F&amp;A rate on the entire amount of the procurement action, unless an entire project is being conducted off campus. If an entire project is being conducted off campus, then the appropriate off campus rate should be charged to </w:t>
      </w:r>
      <w:proofErr w:type="spellStart"/>
      <w:r>
        <w:t>subawards</w:t>
      </w:r>
      <w:proofErr w:type="spellEnd"/>
      <w:r>
        <w:t xml:space="preserve"> and procurements, including consulting</w:t>
      </w:r>
      <w:r>
        <w:rPr>
          <w:spacing w:val="-33"/>
        </w:rPr>
        <w:t xml:space="preserve"> </w:t>
      </w:r>
      <w:r>
        <w:t>agreements.</w:t>
      </w:r>
    </w:p>
    <w:p w14:paraId="5B156F36" w14:textId="77777777" w:rsidR="00455188" w:rsidRDefault="00455188">
      <w:pPr>
        <w:spacing w:before="12"/>
        <w:rPr>
          <w:rFonts w:ascii="Calibri" w:eastAsia="Calibri" w:hAnsi="Calibri" w:cs="Calibri"/>
          <w:sz w:val="23"/>
          <w:szCs w:val="23"/>
        </w:rPr>
      </w:pPr>
    </w:p>
    <w:p w14:paraId="60586280" w14:textId="77777777" w:rsidR="00455188" w:rsidRDefault="00D649C7">
      <w:pPr>
        <w:pStyle w:val="BodyText"/>
        <w:ind w:right="605"/>
        <w:jc w:val="both"/>
      </w:pPr>
      <w:r>
        <w:t>Once the project type and location are determined, the appropriate Federal approved rate should be applied. Current rates and information regarding the F&amp;A waiver process can be found at</w:t>
      </w:r>
      <w:r>
        <w:rPr>
          <w:spacing w:val="-24"/>
        </w:rPr>
        <w:t xml:space="preserve"> </w:t>
      </w:r>
      <w:hyperlink r:id="rId5">
        <w:r>
          <w:rPr>
            <w:color w:val="0000FF"/>
            <w:u w:val="single" w:color="0000FF"/>
          </w:rPr>
          <w:t>http://www.ora.umd.edu/resources/fa</w:t>
        </w:r>
      </w:hyperlink>
    </w:p>
    <w:p w14:paraId="39C7BA51" w14:textId="77777777" w:rsidR="00455188" w:rsidRDefault="00455188">
      <w:pPr>
        <w:spacing w:before="10"/>
        <w:rPr>
          <w:rFonts w:ascii="Calibri" w:eastAsia="Calibri" w:hAnsi="Calibri" w:cs="Calibri"/>
          <w:sz w:val="19"/>
          <w:szCs w:val="19"/>
        </w:rPr>
      </w:pPr>
    </w:p>
    <w:p w14:paraId="3E438BE5" w14:textId="7B5AB4CC" w:rsidR="00455188" w:rsidRDefault="00D649C7">
      <w:pPr>
        <w:pStyle w:val="BodyText"/>
        <w:spacing w:before="51" w:line="242" w:lineRule="auto"/>
        <w:ind w:right="216"/>
      </w:pPr>
      <w:r>
        <w:t xml:space="preserve">Federal rates should be used with </w:t>
      </w:r>
      <w:r w:rsidR="00D43D53">
        <w:t>all sponsors that do not specify a limitation of F&amp;A in their guidelines</w:t>
      </w:r>
      <w:r>
        <w:t xml:space="preserve">, and must be used if UMD will be a </w:t>
      </w:r>
      <w:proofErr w:type="spellStart"/>
      <w:r>
        <w:t>suba</w:t>
      </w:r>
      <w:r w:rsidR="00D43D53">
        <w:t>recipient</w:t>
      </w:r>
      <w:proofErr w:type="spellEnd"/>
      <w:r>
        <w:t xml:space="preserve"> on a Federal prime</w:t>
      </w:r>
      <w:r>
        <w:rPr>
          <w:spacing w:val="-11"/>
        </w:rPr>
        <w:t xml:space="preserve"> </w:t>
      </w:r>
      <w:r>
        <w:t>award.</w:t>
      </w:r>
    </w:p>
    <w:p w14:paraId="405A9B32" w14:textId="77777777" w:rsidR="00455188" w:rsidRDefault="00455188">
      <w:pPr>
        <w:spacing w:before="9"/>
        <w:rPr>
          <w:rFonts w:ascii="Calibri" w:eastAsia="Calibri" w:hAnsi="Calibri" w:cs="Calibri"/>
          <w:sz w:val="23"/>
          <w:szCs w:val="23"/>
        </w:rPr>
      </w:pPr>
    </w:p>
    <w:p w14:paraId="6F00A02F" w14:textId="77777777" w:rsidR="007643DF" w:rsidRPr="00E942F0" w:rsidRDefault="007643DF">
      <w:pPr>
        <w:spacing w:before="9"/>
        <w:rPr>
          <w:rFonts w:ascii="Calibri" w:eastAsia="Calibri" w:hAnsi="Calibri" w:cs="Calibri"/>
          <w:b/>
          <w:sz w:val="23"/>
          <w:szCs w:val="23"/>
        </w:rPr>
      </w:pPr>
      <w:r w:rsidRPr="00E942F0">
        <w:rPr>
          <w:rFonts w:ascii="Calibri" w:eastAsia="Calibri" w:hAnsi="Calibri" w:cs="Calibri"/>
          <w:b/>
          <w:sz w:val="23"/>
          <w:szCs w:val="23"/>
        </w:rPr>
        <w:t xml:space="preserve">Step 4: </w:t>
      </w:r>
      <w:proofErr w:type="gramStart"/>
      <w:r w:rsidRPr="00E942F0">
        <w:rPr>
          <w:rFonts w:ascii="Calibri" w:eastAsia="Calibri" w:hAnsi="Calibri" w:cs="Calibri"/>
          <w:b/>
          <w:sz w:val="23"/>
          <w:szCs w:val="23"/>
        </w:rPr>
        <w:t>DoD</w:t>
      </w:r>
      <w:proofErr w:type="gramEnd"/>
      <w:r w:rsidRPr="00E942F0">
        <w:rPr>
          <w:rFonts w:ascii="Calibri" w:eastAsia="Calibri" w:hAnsi="Calibri" w:cs="Calibri"/>
          <w:b/>
          <w:sz w:val="23"/>
          <w:szCs w:val="23"/>
        </w:rPr>
        <w:t xml:space="preserve"> agency is sponsor</w:t>
      </w:r>
    </w:p>
    <w:p w14:paraId="060E0ECF" w14:textId="77777777" w:rsidR="007643DF" w:rsidRDefault="007643DF" w:rsidP="007643DF">
      <w:pPr>
        <w:pStyle w:val="ListParagraph"/>
        <w:numPr>
          <w:ilvl w:val="1"/>
          <w:numId w:val="1"/>
        </w:numPr>
        <w:tabs>
          <w:tab w:val="left" w:pos="1181"/>
        </w:tabs>
        <w:rPr>
          <w:rFonts w:ascii="Calibri" w:eastAsia="Calibri" w:hAnsi="Calibri" w:cs="Calibri"/>
          <w:sz w:val="24"/>
          <w:szCs w:val="24"/>
        </w:rPr>
      </w:pPr>
      <w:r>
        <w:rPr>
          <w:rFonts w:ascii="Calibri"/>
          <w:sz w:val="24"/>
        </w:rPr>
        <w:t>Confirm that activity to be performed is for Organized Research</w:t>
      </w:r>
    </w:p>
    <w:p w14:paraId="645AC5AF" w14:textId="75017F91" w:rsidR="007643DF" w:rsidRPr="00695C56" w:rsidRDefault="007643DF" w:rsidP="007643DF">
      <w:pPr>
        <w:pStyle w:val="ListParagraph"/>
        <w:numPr>
          <w:ilvl w:val="1"/>
          <w:numId w:val="1"/>
        </w:numPr>
        <w:tabs>
          <w:tab w:val="left" w:pos="1181"/>
        </w:tabs>
        <w:rPr>
          <w:rFonts w:ascii="Calibri" w:eastAsia="Calibri" w:hAnsi="Calibri" w:cs="Calibri"/>
          <w:sz w:val="24"/>
          <w:szCs w:val="24"/>
        </w:rPr>
      </w:pPr>
      <w:r>
        <w:rPr>
          <w:rFonts w:ascii="Calibri"/>
          <w:sz w:val="24"/>
        </w:rPr>
        <w:t xml:space="preserve">If yes, use the appropriate </w:t>
      </w:r>
      <w:proofErr w:type="gramStart"/>
      <w:r>
        <w:rPr>
          <w:rFonts w:ascii="Calibri"/>
          <w:sz w:val="24"/>
        </w:rPr>
        <w:t>DoD</w:t>
      </w:r>
      <w:proofErr w:type="gramEnd"/>
      <w:r>
        <w:rPr>
          <w:rFonts w:ascii="Calibri"/>
          <w:sz w:val="24"/>
        </w:rPr>
        <w:t xml:space="preserve"> rate for on/off campus with the following language included in the budget justification:  “In accordance with DFARS 231.303 UMD has used its uncapped DoD F&amp;A rate to calculate the budget.  Should the DoD agency de</w:t>
      </w:r>
      <w:r w:rsidR="004D6D6C">
        <w:rPr>
          <w:rFonts w:ascii="Calibri"/>
          <w:sz w:val="24"/>
        </w:rPr>
        <w:t>cide</w:t>
      </w:r>
      <w:r>
        <w:rPr>
          <w:rFonts w:ascii="Calibri"/>
          <w:sz w:val="24"/>
        </w:rPr>
        <w:t xml:space="preserve"> to a</w:t>
      </w:r>
      <w:r w:rsidR="00D649C7">
        <w:rPr>
          <w:rFonts w:ascii="Calibri"/>
          <w:sz w:val="24"/>
        </w:rPr>
        <w:t>ward UMD a grant or cooperative agreement instead of a contract, UMD will revise our budget to adjust the F&amp;A rate to the capped Organized Research rate in accordance with 2 CFR 200”</w:t>
      </w:r>
    </w:p>
    <w:p w14:paraId="5587D257" w14:textId="1D344449" w:rsidR="00590106" w:rsidRDefault="00590106" w:rsidP="007643DF">
      <w:pPr>
        <w:pStyle w:val="ListParagraph"/>
        <w:numPr>
          <w:ilvl w:val="1"/>
          <w:numId w:val="1"/>
        </w:numPr>
        <w:tabs>
          <w:tab w:val="left" w:pos="1181"/>
        </w:tabs>
        <w:rPr>
          <w:rFonts w:ascii="Calibri" w:eastAsia="Calibri" w:hAnsi="Calibri" w:cs="Calibri"/>
          <w:sz w:val="24"/>
          <w:szCs w:val="24"/>
        </w:rPr>
      </w:pPr>
      <w:r>
        <w:rPr>
          <w:rFonts w:ascii="Calibri"/>
          <w:sz w:val="24"/>
        </w:rPr>
        <w:t>Other Transaction Agreements (OTA) should be treated the same as contracts</w:t>
      </w:r>
    </w:p>
    <w:p w14:paraId="095EA40B" w14:textId="77777777" w:rsidR="007643DF" w:rsidRPr="00E942F0" w:rsidRDefault="007643DF" w:rsidP="00E942F0">
      <w:pPr>
        <w:tabs>
          <w:tab w:val="left" w:pos="1181"/>
        </w:tabs>
        <w:rPr>
          <w:rFonts w:ascii="Calibri" w:eastAsia="Calibri" w:hAnsi="Calibri" w:cs="Calibri"/>
          <w:sz w:val="24"/>
          <w:szCs w:val="24"/>
        </w:rPr>
      </w:pPr>
    </w:p>
    <w:p w14:paraId="0EC7E8D4" w14:textId="77777777" w:rsidR="007643DF" w:rsidRDefault="007643DF">
      <w:pPr>
        <w:spacing w:before="9"/>
        <w:rPr>
          <w:rFonts w:ascii="Calibri" w:eastAsia="Calibri" w:hAnsi="Calibri" w:cs="Calibri"/>
          <w:sz w:val="23"/>
          <w:szCs w:val="23"/>
        </w:rPr>
      </w:pPr>
    </w:p>
    <w:p w14:paraId="263BD4A6" w14:textId="77777777" w:rsidR="00455188" w:rsidRDefault="00D649C7">
      <w:pPr>
        <w:pStyle w:val="Heading1"/>
        <w:ind w:right="562"/>
        <w:rPr>
          <w:b w:val="0"/>
          <w:bCs w:val="0"/>
        </w:rPr>
      </w:pPr>
      <w:r>
        <w:t>Questions?</w:t>
      </w:r>
    </w:p>
    <w:p w14:paraId="6059B0A8" w14:textId="77777777" w:rsidR="00455188" w:rsidRDefault="00D649C7">
      <w:pPr>
        <w:pStyle w:val="BodyText"/>
        <w:ind w:right="107"/>
      </w:pPr>
      <w:r>
        <w:t>Questions</w:t>
      </w:r>
      <w:r>
        <w:rPr>
          <w:spacing w:val="-5"/>
        </w:rPr>
        <w:t xml:space="preserve"> </w:t>
      </w:r>
      <w:r>
        <w:t>can</w:t>
      </w:r>
      <w:r>
        <w:rPr>
          <w:spacing w:val="-6"/>
        </w:rPr>
        <w:t xml:space="preserve"> </w:t>
      </w:r>
      <w:r>
        <w:t>be</w:t>
      </w:r>
      <w:r>
        <w:rPr>
          <w:spacing w:val="-7"/>
        </w:rPr>
        <w:t xml:space="preserve"> </w:t>
      </w:r>
      <w:r>
        <w:t>directed</w:t>
      </w:r>
      <w:r>
        <w:rPr>
          <w:spacing w:val="-5"/>
        </w:rPr>
        <w:t xml:space="preserve"> </w:t>
      </w:r>
      <w:r>
        <w:t>to</w:t>
      </w:r>
      <w:r>
        <w:rPr>
          <w:spacing w:val="-5"/>
        </w:rPr>
        <w:t xml:space="preserve"> </w:t>
      </w:r>
      <w:r>
        <w:t>your</w:t>
      </w:r>
      <w:r>
        <w:rPr>
          <w:spacing w:val="-5"/>
        </w:rPr>
        <w:t xml:space="preserve"> </w:t>
      </w:r>
      <w:r>
        <w:t>ORA</w:t>
      </w:r>
      <w:r>
        <w:rPr>
          <w:spacing w:val="-5"/>
        </w:rPr>
        <w:t xml:space="preserve"> </w:t>
      </w:r>
      <w:r>
        <w:t>contract</w:t>
      </w:r>
      <w:r>
        <w:rPr>
          <w:spacing w:val="-6"/>
        </w:rPr>
        <w:t xml:space="preserve"> </w:t>
      </w:r>
      <w:r>
        <w:t>administrator.</w:t>
      </w:r>
      <w:r>
        <w:rPr>
          <w:spacing w:val="-1"/>
        </w:rPr>
        <w:t xml:space="preserve"> </w:t>
      </w:r>
      <w:hyperlink r:id="rId6">
        <w:r>
          <w:rPr>
            <w:color w:val="0000FF"/>
            <w:u w:val="single" w:color="0000FF"/>
          </w:rPr>
          <w:t>http://www.ora.umd.edu/staff</w:t>
        </w:r>
      </w:hyperlink>
    </w:p>
    <w:p w14:paraId="6BDAFA64" w14:textId="77777777" w:rsidR="00455188" w:rsidRDefault="00455188">
      <w:pPr>
        <w:rPr>
          <w:rFonts w:ascii="Calibri" w:eastAsia="Calibri" w:hAnsi="Calibri" w:cs="Calibri"/>
          <w:sz w:val="20"/>
          <w:szCs w:val="20"/>
        </w:rPr>
      </w:pPr>
    </w:p>
    <w:p w14:paraId="4AC4B49B" w14:textId="77777777" w:rsidR="00455188" w:rsidRDefault="00455188">
      <w:pPr>
        <w:spacing w:before="9"/>
        <w:rPr>
          <w:rFonts w:ascii="Calibri" w:eastAsia="Calibri" w:hAnsi="Calibri" w:cs="Calibri"/>
          <w:sz w:val="23"/>
          <w:szCs w:val="23"/>
        </w:rPr>
      </w:pPr>
    </w:p>
    <w:p w14:paraId="775175E6" w14:textId="35BDF954" w:rsidR="00D649C7" w:rsidRDefault="00D649C7">
      <w:pPr>
        <w:pStyle w:val="BodyText"/>
        <w:spacing w:before="51"/>
        <w:ind w:right="562"/>
      </w:pPr>
      <w:r>
        <w:t>(Updated</w:t>
      </w:r>
      <w:r>
        <w:rPr>
          <w:spacing w:val="-2"/>
        </w:rPr>
        <w:t xml:space="preserve"> </w:t>
      </w:r>
      <w:r w:rsidR="00695C56">
        <w:t>10</w:t>
      </w:r>
      <w:r>
        <w:t>/</w:t>
      </w:r>
      <w:r w:rsidR="00695C56">
        <w:t>8</w:t>
      </w:r>
      <w:r>
        <w:t>/1</w:t>
      </w:r>
      <w:r w:rsidR="00695C56">
        <w:t>9</w:t>
      </w:r>
      <w:bookmarkStart w:id="0" w:name="_GoBack"/>
      <w:bookmarkEnd w:id="0"/>
      <w:r>
        <w:t>)</w:t>
      </w:r>
    </w:p>
    <w:p w14:paraId="0B24DF5C" w14:textId="77777777" w:rsidR="00D649C7" w:rsidRPr="00D43D53" w:rsidRDefault="00D649C7" w:rsidP="00E942F0"/>
    <w:p w14:paraId="209987FE" w14:textId="77777777" w:rsidR="00D649C7" w:rsidRPr="00D43D53" w:rsidRDefault="00D649C7" w:rsidP="00E942F0"/>
    <w:p w14:paraId="3D02DE43" w14:textId="77777777" w:rsidR="00D649C7" w:rsidRPr="00E942F0" w:rsidRDefault="00D649C7" w:rsidP="00E942F0"/>
    <w:p w14:paraId="321572A7" w14:textId="77777777" w:rsidR="00D649C7" w:rsidRPr="00E942F0" w:rsidRDefault="00D649C7" w:rsidP="00E942F0"/>
    <w:p w14:paraId="7BDC40FD" w14:textId="77777777" w:rsidR="00D649C7" w:rsidRPr="00E942F0" w:rsidRDefault="00D649C7" w:rsidP="00E942F0"/>
    <w:p w14:paraId="4BB61F53" w14:textId="77777777" w:rsidR="00D649C7" w:rsidRPr="00E942F0" w:rsidRDefault="00D649C7" w:rsidP="00E942F0"/>
    <w:p w14:paraId="24DC7EE8" w14:textId="77777777" w:rsidR="00D649C7" w:rsidRPr="00E942F0" w:rsidRDefault="00D649C7" w:rsidP="00E942F0"/>
    <w:p w14:paraId="39FD5642" w14:textId="77777777" w:rsidR="00D649C7" w:rsidRPr="00E942F0" w:rsidRDefault="00D649C7" w:rsidP="00E942F0"/>
    <w:p w14:paraId="46E302DC" w14:textId="77777777" w:rsidR="00D649C7" w:rsidRPr="00E942F0" w:rsidRDefault="00D649C7" w:rsidP="00E942F0"/>
    <w:p w14:paraId="0DF18672" w14:textId="77777777" w:rsidR="00D649C7" w:rsidRDefault="00D649C7" w:rsidP="00D649C7"/>
    <w:p w14:paraId="05BF72B3" w14:textId="77777777" w:rsidR="00455188" w:rsidRPr="00D43D53" w:rsidRDefault="00D649C7" w:rsidP="00E942F0">
      <w:pPr>
        <w:tabs>
          <w:tab w:val="left" w:pos="3720"/>
        </w:tabs>
      </w:pPr>
      <w:r>
        <w:tab/>
      </w:r>
    </w:p>
    <w:sectPr w:rsidR="00455188" w:rsidRPr="00D43D53">
      <w:pgSz w:w="12240" w:h="15840"/>
      <w:pgMar w:top="14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0356E"/>
    <w:multiLevelType w:val="hybridMultilevel"/>
    <w:tmpl w:val="F146CABC"/>
    <w:lvl w:ilvl="0" w:tplc="239A2690">
      <w:start w:val="1"/>
      <w:numFmt w:val="bullet"/>
      <w:lvlText w:val="•"/>
      <w:lvlJc w:val="left"/>
      <w:pPr>
        <w:ind w:left="995" w:hanging="175"/>
      </w:pPr>
      <w:rPr>
        <w:rFonts w:ascii="Calibri" w:eastAsia="Calibri" w:hAnsi="Calibri" w:hint="default"/>
        <w:w w:val="99"/>
        <w:sz w:val="24"/>
        <w:szCs w:val="24"/>
      </w:rPr>
    </w:lvl>
    <w:lvl w:ilvl="1" w:tplc="D502620A">
      <w:start w:val="1"/>
      <w:numFmt w:val="bullet"/>
      <w:lvlText w:val="•"/>
      <w:lvlJc w:val="left"/>
      <w:pPr>
        <w:ind w:left="1850" w:hanging="175"/>
      </w:pPr>
      <w:rPr>
        <w:rFonts w:hint="default"/>
      </w:rPr>
    </w:lvl>
    <w:lvl w:ilvl="2" w:tplc="85BC1890">
      <w:start w:val="1"/>
      <w:numFmt w:val="bullet"/>
      <w:lvlText w:val="•"/>
      <w:lvlJc w:val="left"/>
      <w:pPr>
        <w:ind w:left="2700" w:hanging="175"/>
      </w:pPr>
      <w:rPr>
        <w:rFonts w:hint="default"/>
      </w:rPr>
    </w:lvl>
    <w:lvl w:ilvl="3" w:tplc="BC84BE76">
      <w:start w:val="1"/>
      <w:numFmt w:val="bullet"/>
      <w:lvlText w:val="•"/>
      <w:lvlJc w:val="left"/>
      <w:pPr>
        <w:ind w:left="3550" w:hanging="175"/>
      </w:pPr>
      <w:rPr>
        <w:rFonts w:hint="default"/>
      </w:rPr>
    </w:lvl>
    <w:lvl w:ilvl="4" w:tplc="38FEBD3E">
      <w:start w:val="1"/>
      <w:numFmt w:val="bullet"/>
      <w:lvlText w:val="•"/>
      <w:lvlJc w:val="left"/>
      <w:pPr>
        <w:ind w:left="4400" w:hanging="175"/>
      </w:pPr>
      <w:rPr>
        <w:rFonts w:hint="default"/>
      </w:rPr>
    </w:lvl>
    <w:lvl w:ilvl="5" w:tplc="9544F3E2">
      <w:start w:val="1"/>
      <w:numFmt w:val="bullet"/>
      <w:lvlText w:val="•"/>
      <w:lvlJc w:val="left"/>
      <w:pPr>
        <w:ind w:left="5250" w:hanging="175"/>
      </w:pPr>
      <w:rPr>
        <w:rFonts w:hint="default"/>
      </w:rPr>
    </w:lvl>
    <w:lvl w:ilvl="6" w:tplc="B4CEF012">
      <w:start w:val="1"/>
      <w:numFmt w:val="bullet"/>
      <w:lvlText w:val="•"/>
      <w:lvlJc w:val="left"/>
      <w:pPr>
        <w:ind w:left="6100" w:hanging="175"/>
      </w:pPr>
      <w:rPr>
        <w:rFonts w:hint="default"/>
      </w:rPr>
    </w:lvl>
    <w:lvl w:ilvl="7" w:tplc="64CEC4C0">
      <w:start w:val="1"/>
      <w:numFmt w:val="bullet"/>
      <w:lvlText w:val="•"/>
      <w:lvlJc w:val="left"/>
      <w:pPr>
        <w:ind w:left="6950" w:hanging="175"/>
      </w:pPr>
      <w:rPr>
        <w:rFonts w:hint="default"/>
      </w:rPr>
    </w:lvl>
    <w:lvl w:ilvl="8" w:tplc="9EAEE6C0">
      <w:start w:val="1"/>
      <w:numFmt w:val="bullet"/>
      <w:lvlText w:val="•"/>
      <w:lvlJc w:val="left"/>
      <w:pPr>
        <w:ind w:left="7800" w:hanging="175"/>
      </w:pPr>
      <w:rPr>
        <w:rFonts w:hint="default"/>
      </w:rPr>
    </w:lvl>
  </w:abstractNum>
  <w:abstractNum w:abstractNumId="1" w15:restartNumberingAfterBreak="0">
    <w:nsid w:val="392E481D"/>
    <w:multiLevelType w:val="hybridMultilevel"/>
    <w:tmpl w:val="9A9E127C"/>
    <w:lvl w:ilvl="0" w:tplc="88AA6B0E">
      <w:start w:val="1"/>
      <w:numFmt w:val="upperLetter"/>
      <w:lvlText w:val="%1)"/>
      <w:lvlJc w:val="left"/>
      <w:pPr>
        <w:ind w:left="375" w:hanging="276"/>
        <w:jc w:val="left"/>
      </w:pPr>
      <w:rPr>
        <w:rFonts w:ascii="Calibri" w:eastAsia="Calibri" w:hAnsi="Calibri" w:hint="default"/>
        <w:b/>
        <w:bCs/>
        <w:spacing w:val="-2"/>
        <w:w w:val="100"/>
        <w:sz w:val="24"/>
        <w:szCs w:val="24"/>
      </w:rPr>
    </w:lvl>
    <w:lvl w:ilvl="1" w:tplc="73786668">
      <w:start w:val="1"/>
      <w:numFmt w:val="bullet"/>
      <w:lvlText w:val="•"/>
      <w:lvlJc w:val="left"/>
      <w:pPr>
        <w:ind w:left="1180" w:hanging="360"/>
      </w:pPr>
      <w:rPr>
        <w:rFonts w:ascii="Calibri" w:eastAsia="Calibri" w:hAnsi="Calibri" w:hint="default"/>
        <w:spacing w:val="-3"/>
        <w:w w:val="99"/>
        <w:sz w:val="24"/>
        <w:szCs w:val="24"/>
      </w:rPr>
    </w:lvl>
    <w:lvl w:ilvl="2" w:tplc="319802E6">
      <w:start w:val="1"/>
      <w:numFmt w:val="bullet"/>
      <w:lvlText w:val="•"/>
      <w:lvlJc w:val="left"/>
      <w:pPr>
        <w:ind w:left="2104" w:hanging="360"/>
      </w:pPr>
      <w:rPr>
        <w:rFonts w:hint="default"/>
      </w:rPr>
    </w:lvl>
    <w:lvl w:ilvl="3" w:tplc="8B60704A">
      <w:start w:val="1"/>
      <w:numFmt w:val="bullet"/>
      <w:lvlText w:val="•"/>
      <w:lvlJc w:val="left"/>
      <w:pPr>
        <w:ind w:left="3028" w:hanging="360"/>
      </w:pPr>
      <w:rPr>
        <w:rFonts w:hint="default"/>
      </w:rPr>
    </w:lvl>
    <w:lvl w:ilvl="4" w:tplc="49BE8320">
      <w:start w:val="1"/>
      <w:numFmt w:val="bullet"/>
      <w:lvlText w:val="•"/>
      <w:lvlJc w:val="left"/>
      <w:pPr>
        <w:ind w:left="3953" w:hanging="360"/>
      </w:pPr>
      <w:rPr>
        <w:rFonts w:hint="default"/>
      </w:rPr>
    </w:lvl>
    <w:lvl w:ilvl="5" w:tplc="F3603ACE">
      <w:start w:val="1"/>
      <w:numFmt w:val="bullet"/>
      <w:lvlText w:val="•"/>
      <w:lvlJc w:val="left"/>
      <w:pPr>
        <w:ind w:left="4877" w:hanging="360"/>
      </w:pPr>
      <w:rPr>
        <w:rFonts w:hint="default"/>
      </w:rPr>
    </w:lvl>
    <w:lvl w:ilvl="6" w:tplc="67D4CE38">
      <w:start w:val="1"/>
      <w:numFmt w:val="bullet"/>
      <w:lvlText w:val="•"/>
      <w:lvlJc w:val="left"/>
      <w:pPr>
        <w:ind w:left="5802" w:hanging="360"/>
      </w:pPr>
      <w:rPr>
        <w:rFonts w:hint="default"/>
      </w:rPr>
    </w:lvl>
    <w:lvl w:ilvl="7" w:tplc="EF529F4E">
      <w:start w:val="1"/>
      <w:numFmt w:val="bullet"/>
      <w:lvlText w:val="•"/>
      <w:lvlJc w:val="left"/>
      <w:pPr>
        <w:ind w:left="6726" w:hanging="360"/>
      </w:pPr>
      <w:rPr>
        <w:rFonts w:hint="default"/>
      </w:rPr>
    </w:lvl>
    <w:lvl w:ilvl="8" w:tplc="F49A7AF4">
      <w:start w:val="1"/>
      <w:numFmt w:val="bullet"/>
      <w:lvlText w:val="•"/>
      <w:lvlJc w:val="left"/>
      <w:pPr>
        <w:ind w:left="7651"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88"/>
    <w:rsid w:val="000E0CD2"/>
    <w:rsid w:val="00455188"/>
    <w:rsid w:val="004D6D6C"/>
    <w:rsid w:val="00525887"/>
    <w:rsid w:val="00590106"/>
    <w:rsid w:val="00695C56"/>
    <w:rsid w:val="007643DF"/>
    <w:rsid w:val="00790048"/>
    <w:rsid w:val="00D4148D"/>
    <w:rsid w:val="00D43D53"/>
    <w:rsid w:val="00D649C7"/>
    <w:rsid w:val="00E94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BBBB"/>
  <w15:docId w15:val="{5020167B-1299-4C2B-AC00-212FC6C0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643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3DF"/>
    <w:rPr>
      <w:rFonts w:ascii="Segoe UI" w:hAnsi="Segoe UI" w:cs="Segoe UI"/>
      <w:sz w:val="18"/>
      <w:szCs w:val="18"/>
    </w:rPr>
  </w:style>
  <w:style w:type="character" w:styleId="CommentReference">
    <w:name w:val="annotation reference"/>
    <w:basedOn w:val="DefaultParagraphFont"/>
    <w:uiPriority w:val="99"/>
    <w:semiHidden/>
    <w:unhideWhenUsed/>
    <w:rsid w:val="00D43D53"/>
    <w:rPr>
      <w:sz w:val="16"/>
      <w:szCs w:val="16"/>
    </w:rPr>
  </w:style>
  <w:style w:type="paragraph" w:styleId="CommentText">
    <w:name w:val="annotation text"/>
    <w:basedOn w:val="Normal"/>
    <w:link w:val="CommentTextChar"/>
    <w:uiPriority w:val="99"/>
    <w:semiHidden/>
    <w:unhideWhenUsed/>
    <w:rsid w:val="00D43D53"/>
    <w:rPr>
      <w:sz w:val="20"/>
      <w:szCs w:val="20"/>
    </w:rPr>
  </w:style>
  <w:style w:type="character" w:customStyle="1" w:styleId="CommentTextChar">
    <w:name w:val="Comment Text Char"/>
    <w:basedOn w:val="DefaultParagraphFont"/>
    <w:link w:val="CommentText"/>
    <w:uiPriority w:val="99"/>
    <w:semiHidden/>
    <w:rsid w:val="00D43D53"/>
    <w:rPr>
      <w:sz w:val="20"/>
      <w:szCs w:val="20"/>
    </w:rPr>
  </w:style>
  <w:style w:type="paragraph" w:styleId="CommentSubject">
    <w:name w:val="annotation subject"/>
    <w:basedOn w:val="CommentText"/>
    <w:next w:val="CommentText"/>
    <w:link w:val="CommentSubjectChar"/>
    <w:uiPriority w:val="99"/>
    <w:semiHidden/>
    <w:unhideWhenUsed/>
    <w:rsid w:val="00D43D53"/>
    <w:rPr>
      <w:b/>
      <w:bCs/>
    </w:rPr>
  </w:style>
  <w:style w:type="character" w:customStyle="1" w:styleId="CommentSubjectChar">
    <w:name w:val="Comment Subject Char"/>
    <w:basedOn w:val="CommentTextChar"/>
    <w:link w:val="CommentSubject"/>
    <w:uiPriority w:val="99"/>
    <w:semiHidden/>
    <w:rsid w:val="00D43D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a.umd.edu/staff" TargetMode="External"/><Relationship Id="rId5" Type="http://schemas.openxmlformats.org/officeDocument/2006/relationships/hyperlink" Target="http://www.ora.umd.edu/resources/f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A. Frankenfield</dc:creator>
  <cp:lastModifiedBy>Wendy T. Montgomery</cp:lastModifiedBy>
  <cp:revision>2</cp:revision>
  <cp:lastPrinted>2018-04-23T14:03:00Z</cp:lastPrinted>
  <dcterms:created xsi:type="dcterms:W3CDTF">2019-10-07T20:39:00Z</dcterms:created>
  <dcterms:modified xsi:type="dcterms:W3CDTF">2019-10-07T20:39:00Z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2016-03-04T00:00:00Z</vt:filetime>
  </property>
  <property fmtid="{D5CDD505-2E9C-101B-9397-08002B2CF9AE}" pid="3" name="Creator">
    <vt:lpwstr>Microsoft® Word 2010</vt:lpwstr>
  </property>
  <property fmtid="{D5CDD505-2E9C-101B-9397-08002B2CF9AE}" pid="4" name="LastSaved">
    <vt:filetime>2018-04-19T00:00:00Z</vt:filetime>
  </property>
</Properties>
</file>